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jc w:val="center"/>
        <w:rPr>
          <w:rFonts w:ascii="方正小标宋简体" w:hAnsi="仿宋" w:eastAsia="方正小标宋简体" w:cs="仿宋"/>
          <w:b/>
          <w:sz w:val="44"/>
          <w:szCs w:val="44"/>
        </w:rPr>
      </w:pPr>
      <w:r>
        <w:rPr>
          <w:rFonts w:hint="eastAsia" w:ascii="方正小标宋简体" w:hAnsi="仿宋" w:eastAsia="方正小标宋简体" w:cs="仿宋"/>
          <w:sz w:val="44"/>
          <w:szCs w:val="44"/>
        </w:rPr>
        <w:t>采购需求</w:t>
      </w:r>
    </w:p>
    <w:p>
      <w:pPr>
        <w:spacing w:line="580" w:lineRule="exact"/>
        <w:jc w:val="center"/>
        <w:rPr>
          <w:rFonts w:ascii="仿宋_GB2312" w:hAnsi="仿宋" w:eastAsia="仿宋_GB2312" w:cs="仿宋"/>
          <w:sz w:val="32"/>
          <w:szCs w:val="32"/>
        </w:rPr>
      </w:pP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一、采购项目概况</w:t>
      </w:r>
    </w:p>
    <w:p>
      <w:pPr>
        <w:widowControl/>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lang w:eastAsia="zh-CN"/>
        </w:rPr>
        <w:t>（一）</w:t>
      </w:r>
      <w:r>
        <w:rPr>
          <w:rFonts w:hint="eastAsia" w:ascii="仿宋_GB2312" w:hAnsi="仿宋_GB2312" w:eastAsia="仿宋_GB2312" w:cs="仿宋_GB2312"/>
          <w:color w:val="auto"/>
          <w:kern w:val="0"/>
          <w:sz w:val="32"/>
          <w:szCs w:val="32"/>
        </w:rPr>
        <w:t>采购项目名称：</w:t>
      </w:r>
      <w:r>
        <w:rPr>
          <w:rFonts w:hint="eastAsia" w:ascii="仿宋_GB2312" w:hAnsi="仿宋_GB2312" w:eastAsia="仿宋_GB2312" w:cs="仿宋_GB2312"/>
          <w:color w:val="auto"/>
          <w:kern w:val="0"/>
          <w:sz w:val="32"/>
          <w:szCs w:val="32"/>
          <w:lang w:eastAsia="zh-CN"/>
        </w:rPr>
        <w:t>光明区第六届粤剧粤曲艺术周暨庆祝深圳经济特区建立40周年、光明区成立两周年文艺活动</w:t>
      </w:r>
    </w:p>
    <w:p>
      <w:pPr>
        <w:ind w:firstLine="640" w:firstLineChars="2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eastAsia="zh-CN"/>
        </w:rPr>
        <w:t>（二）</w:t>
      </w:r>
      <w:r>
        <w:rPr>
          <w:rFonts w:hint="eastAsia" w:ascii="仿宋_GB2312" w:hAnsi="仿宋_GB2312" w:eastAsia="仿宋_GB2312" w:cs="仿宋_GB2312"/>
          <w:color w:val="auto"/>
          <w:kern w:val="0"/>
          <w:sz w:val="32"/>
          <w:szCs w:val="32"/>
        </w:rPr>
        <w:t>活动内容：</w:t>
      </w:r>
      <w:r>
        <w:rPr>
          <w:rFonts w:hint="eastAsia" w:ascii="仿宋_GB2312" w:hAnsi="仿宋_GB2312" w:eastAsia="仿宋_GB2312" w:cs="仿宋_GB2312"/>
          <w:color w:val="auto"/>
          <w:kern w:val="0"/>
          <w:sz w:val="32"/>
          <w:szCs w:val="32"/>
          <w:lang w:eastAsia="zh-CN"/>
        </w:rPr>
        <w:t>区级</w:t>
      </w:r>
      <w:r>
        <w:rPr>
          <w:rFonts w:hint="eastAsia" w:ascii="仿宋_GB2312" w:hAnsi="仿宋_GB2312" w:eastAsia="仿宋_GB2312" w:cs="仿宋_GB2312"/>
          <w:b w:val="0"/>
          <w:bCs/>
          <w:color w:val="auto"/>
          <w:sz w:val="32"/>
          <w:szCs w:val="32"/>
          <w:lang w:val="en-US" w:eastAsia="zh-CN"/>
        </w:rPr>
        <w:t>粤剧粤曲比赛</w:t>
      </w:r>
      <w:r>
        <w:rPr>
          <w:rFonts w:hint="eastAsia" w:ascii="仿宋_GB2312" w:hAnsi="仿宋_GB2312" w:eastAsia="仿宋_GB2312" w:cs="仿宋_GB2312"/>
          <w:color w:val="auto"/>
          <w:sz w:val="32"/>
          <w:szCs w:val="32"/>
          <w:lang w:val="en-US" w:eastAsia="zh-CN"/>
        </w:rPr>
        <w:t>、粤剧名家讲座、颁奖典礼暨粤剧粤曲名家展演</w:t>
      </w:r>
      <w:r>
        <w:rPr>
          <w:rFonts w:hint="eastAsia" w:ascii="仿宋_GB2312" w:hAnsi="仿宋_GB2312" w:eastAsia="仿宋_GB2312" w:cs="仿宋_GB2312"/>
          <w:color w:val="auto"/>
          <w:kern w:val="0"/>
          <w:sz w:val="32"/>
          <w:szCs w:val="32"/>
        </w:rPr>
        <w:t>等。</w:t>
      </w:r>
    </w:p>
    <w:p>
      <w:pPr>
        <w:widowControl/>
        <w:ind w:firstLine="320" w:firstLineChars="100"/>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eastAsia="zh-CN"/>
        </w:rPr>
        <w:t>（三）</w:t>
      </w:r>
      <w:r>
        <w:rPr>
          <w:rFonts w:hint="eastAsia" w:ascii="仿宋_GB2312" w:hAnsi="仿宋_GB2312" w:eastAsia="仿宋_GB2312" w:cs="仿宋_GB2312"/>
          <w:color w:val="auto"/>
          <w:kern w:val="0"/>
          <w:sz w:val="32"/>
          <w:szCs w:val="32"/>
        </w:rPr>
        <w:t>项目预算：</w:t>
      </w:r>
      <w:r>
        <w:rPr>
          <w:rFonts w:hint="eastAsia" w:ascii="仿宋_GB2312" w:hAnsi="仿宋_GB2312" w:eastAsia="仿宋_GB2312" w:cs="仿宋_GB2312"/>
          <w:color w:val="auto"/>
          <w:kern w:val="0"/>
          <w:sz w:val="32"/>
          <w:szCs w:val="32"/>
          <w:lang w:val="en-US" w:eastAsia="zh-CN"/>
        </w:rPr>
        <w:t>29</w:t>
      </w:r>
      <w:r>
        <w:rPr>
          <w:rFonts w:hint="eastAsia" w:ascii="仿宋_GB2312" w:hAnsi="仿宋_GB2312" w:eastAsia="仿宋_GB2312" w:cs="仿宋_GB2312"/>
          <w:color w:val="auto"/>
          <w:kern w:val="0"/>
          <w:sz w:val="32"/>
          <w:szCs w:val="32"/>
        </w:rPr>
        <w:t>万人民币（高于此价格无效）</w:t>
      </w:r>
    </w:p>
    <w:p>
      <w:pPr>
        <w:spacing w:line="540" w:lineRule="exact"/>
        <w:ind w:firstLine="640" w:firstLineChars="200"/>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bCs/>
          <w:color w:val="auto"/>
          <w:sz w:val="32"/>
          <w:szCs w:val="32"/>
          <w:lang w:val="en-US" w:eastAsia="zh-CN"/>
        </w:rPr>
        <w:t>（四）项目内容及服务要求</w:t>
      </w:r>
      <w:bookmarkStart w:id="0" w:name="_GoBack"/>
      <w:bookmarkEnd w:id="0"/>
    </w:p>
    <w:tbl>
      <w:tblPr>
        <w:tblStyle w:val="5"/>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27"/>
        <w:gridCol w:w="71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827" w:type="dxa"/>
            <w:vAlign w:val="center"/>
          </w:tcPr>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color w:val="auto"/>
                <w:sz w:val="32"/>
                <w:szCs w:val="32"/>
                <w:lang w:val="en-US" w:eastAsia="zh-CN"/>
              </w:rPr>
            </w:pPr>
            <w:r>
              <w:rPr>
                <w:rFonts w:hint="eastAsia" w:ascii="仿宋_GB2312" w:hAnsi="仿宋_GB2312" w:eastAsia="仿宋_GB2312" w:cs="仿宋_GB2312"/>
                <w:b w:val="0"/>
                <w:bCs/>
                <w:color w:val="auto"/>
                <w:sz w:val="32"/>
                <w:szCs w:val="32"/>
                <w:lang w:val="en-US" w:eastAsia="zh-CN"/>
              </w:rPr>
              <w:t>“十佳”粤剧粤曲唱家评选</w:t>
            </w:r>
          </w:p>
          <w:p>
            <w:pPr>
              <w:keepNext w:val="0"/>
              <w:keepLines w:val="0"/>
              <w:pageBreakBefore w:val="0"/>
              <w:kinsoku/>
              <w:wordWrap/>
              <w:overflowPunct/>
              <w:topLinePunct w:val="0"/>
              <w:autoSpaceDE/>
              <w:autoSpaceDN/>
              <w:bidi w:val="0"/>
              <w:adjustRightInd/>
              <w:snapToGrid/>
              <w:spacing w:line="560" w:lineRule="exact"/>
              <w:jc w:val="both"/>
              <w:textAlignment w:val="auto"/>
              <w:outlineLvl w:val="9"/>
              <w:rPr>
                <w:rFonts w:hint="eastAsia" w:ascii="仿宋_GB2312" w:hAnsi="仿宋_GB2312" w:eastAsia="仿宋_GB2312" w:cs="仿宋_GB2312"/>
                <w:b w:val="0"/>
                <w:bCs/>
                <w:color w:val="auto"/>
                <w:sz w:val="32"/>
                <w:szCs w:val="32"/>
                <w:vertAlign w:val="baseline"/>
                <w:lang w:val="en-US" w:eastAsia="zh-CN"/>
              </w:rPr>
            </w:pPr>
          </w:p>
        </w:tc>
        <w:tc>
          <w:tcPr>
            <w:tcW w:w="7121" w:type="dxa"/>
          </w:tcPr>
          <w:p>
            <w:pPr>
              <w:keepNext w:val="0"/>
              <w:keepLines w:val="0"/>
              <w:pageBreakBefore w:val="0"/>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1.前期宣传发动</w:t>
            </w:r>
          </w:p>
          <w:p>
            <w:pPr>
              <w:keepNext w:val="0"/>
              <w:keepLines w:val="0"/>
              <w:pageBreakBefore w:val="0"/>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b w:val="0"/>
                <w:bCs w:val="0"/>
                <w:color w:val="auto"/>
                <w:sz w:val="32"/>
                <w:szCs w:val="32"/>
                <w:highlight w:val="none"/>
                <w:lang w:val="en-US" w:eastAsia="zh-CN"/>
              </w:rPr>
              <w:t>（1）</w:t>
            </w:r>
            <w:r>
              <w:rPr>
                <w:rFonts w:hint="eastAsia" w:ascii="仿宋_GB2312" w:hAnsi="仿宋_GB2312" w:eastAsia="仿宋_GB2312" w:cs="仿宋_GB2312"/>
                <w:color w:val="auto"/>
                <w:kern w:val="0"/>
                <w:sz w:val="32"/>
                <w:szCs w:val="32"/>
              </w:rPr>
              <w:t>设计海报</w:t>
            </w: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rPr>
              <w:t>宣传栏海报不少</w:t>
            </w:r>
            <w:r>
              <w:rPr>
                <w:rFonts w:hint="eastAsia" w:ascii="仿宋_GB2312" w:hAnsi="仿宋_GB2312" w:eastAsia="仿宋_GB2312" w:cs="仿宋_GB2312"/>
                <w:color w:val="auto"/>
                <w:kern w:val="0"/>
                <w:sz w:val="32"/>
                <w:szCs w:val="32"/>
                <w:lang w:eastAsia="zh-CN"/>
              </w:rPr>
              <w:t>于</w:t>
            </w:r>
            <w:r>
              <w:rPr>
                <w:rFonts w:hint="eastAsia" w:ascii="仿宋_GB2312" w:hAnsi="仿宋_GB2312" w:eastAsia="仿宋_GB2312" w:cs="仿宋_GB2312"/>
                <w:color w:val="auto"/>
                <w:kern w:val="0"/>
                <w:sz w:val="32"/>
                <w:szCs w:val="32"/>
              </w:rPr>
              <w:t>10张，约0.8米*1米；电梯海报不少于</w:t>
            </w:r>
            <w:r>
              <w:rPr>
                <w:rFonts w:hint="eastAsia" w:ascii="仿宋_GB2312" w:hAnsi="仿宋_GB2312" w:eastAsia="仿宋_GB2312" w:cs="仿宋_GB2312"/>
                <w:color w:val="auto"/>
                <w:kern w:val="0"/>
                <w:sz w:val="32"/>
                <w:szCs w:val="32"/>
                <w:lang w:val="en-US" w:eastAsia="zh-CN"/>
              </w:rPr>
              <w:t>3版，数量不少于40</w:t>
            </w:r>
            <w:r>
              <w:rPr>
                <w:rFonts w:hint="eastAsia" w:ascii="仿宋_GB2312" w:hAnsi="仿宋_GB2312" w:eastAsia="仿宋_GB2312" w:cs="仿宋_GB2312"/>
                <w:color w:val="auto"/>
                <w:kern w:val="0"/>
                <w:sz w:val="32"/>
                <w:szCs w:val="32"/>
              </w:rPr>
              <w:t>张，约</w:t>
            </w:r>
            <w:r>
              <w:rPr>
                <w:rFonts w:ascii="仿宋_GB2312" w:hAnsi="仿宋_GB2312" w:eastAsia="仿宋_GB2312" w:cs="仿宋_GB2312"/>
                <w:color w:val="auto"/>
                <w:kern w:val="0"/>
                <w:sz w:val="32"/>
                <w:szCs w:val="32"/>
              </w:rPr>
              <w:t>0</w:t>
            </w:r>
            <w:r>
              <w:rPr>
                <w:rFonts w:hint="eastAsia" w:ascii="仿宋_GB2312" w:hAnsi="仿宋_GB2312" w:eastAsia="仿宋_GB2312" w:cs="仿宋_GB2312"/>
                <w:color w:val="auto"/>
                <w:kern w:val="0"/>
                <w:sz w:val="32"/>
                <w:szCs w:val="32"/>
              </w:rPr>
              <w:t>.6米*</w:t>
            </w:r>
            <w:r>
              <w:rPr>
                <w:rFonts w:ascii="仿宋_GB2312" w:hAnsi="仿宋_GB2312" w:eastAsia="仿宋_GB2312" w:cs="仿宋_GB2312"/>
                <w:color w:val="auto"/>
                <w:kern w:val="0"/>
                <w:sz w:val="32"/>
                <w:szCs w:val="32"/>
              </w:rPr>
              <w:t>0.8</w:t>
            </w:r>
            <w:r>
              <w:rPr>
                <w:rFonts w:hint="eastAsia" w:ascii="仿宋_GB2312" w:hAnsi="仿宋_GB2312" w:eastAsia="仿宋_GB2312" w:cs="仿宋_GB2312"/>
                <w:color w:val="auto"/>
                <w:kern w:val="0"/>
                <w:sz w:val="32"/>
                <w:szCs w:val="32"/>
              </w:rPr>
              <w:t>米）</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eastAsia="zh-CN"/>
              </w:rPr>
              <w:t>（</w:t>
            </w:r>
            <w:r>
              <w:rPr>
                <w:rFonts w:hint="eastAsia" w:ascii="仿宋_GB2312" w:hAnsi="仿宋_GB2312" w:eastAsia="仿宋_GB2312" w:cs="仿宋_GB2312"/>
                <w:color w:val="auto"/>
                <w:kern w:val="0"/>
                <w:sz w:val="32"/>
                <w:szCs w:val="32"/>
                <w:lang w:val="en-US" w:eastAsia="zh-CN"/>
              </w:rPr>
              <w:t>2</w:t>
            </w:r>
            <w:r>
              <w:rPr>
                <w:rFonts w:hint="eastAsia" w:ascii="仿宋_GB2312" w:hAnsi="仿宋_GB2312" w:eastAsia="仿宋_GB2312" w:cs="仿宋_GB2312"/>
                <w:color w:val="auto"/>
                <w:kern w:val="0"/>
                <w:sz w:val="32"/>
                <w:szCs w:val="32"/>
                <w:lang w:eastAsia="zh-CN"/>
              </w:rPr>
              <w:t>）媒体宣传：</w:t>
            </w:r>
            <w:r>
              <w:rPr>
                <w:rFonts w:hint="eastAsia" w:ascii="仿宋_GB2312" w:hAnsi="仿宋_GB2312" w:eastAsia="仿宋_GB2312" w:cs="仿宋_GB2312"/>
                <w:color w:val="auto"/>
                <w:kern w:val="0"/>
                <w:sz w:val="32"/>
                <w:szCs w:val="32"/>
                <w:lang w:val="en-US" w:eastAsia="zh-CN"/>
              </w:rPr>
              <w:t>借助传统媒体、新媒体等形式广泛宣传发布活动信息。（在纸质媒体发布不少于4家，在广电媒体发布不少于2家，在网络媒体发布不少于5家）</w:t>
            </w:r>
          </w:p>
          <w:p>
            <w:pPr>
              <w:keepNext w:val="0"/>
              <w:keepLines w:val="0"/>
              <w:pageBreakBefore w:val="0"/>
              <w:kinsoku/>
              <w:wordWrap/>
              <w:overflowPunct/>
              <w:topLinePunct w:val="0"/>
              <w:autoSpaceDE/>
              <w:autoSpaceDN/>
              <w:bidi w:val="0"/>
              <w:adjustRightInd/>
              <w:snapToGrid/>
              <w:spacing w:line="560" w:lineRule="exact"/>
              <w:ind w:firstLine="600"/>
              <w:textAlignment w:val="auto"/>
              <w:outlineLvl w:val="9"/>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2.发动参赛队伍/个人数量要求：报名人数（节目）不少于60名（组）。</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3.比赛场次</w:t>
            </w:r>
          </w:p>
          <w:p>
            <w:pPr>
              <w:keepNext w:val="0"/>
              <w:keepLines w:val="0"/>
              <w:pageBreakBefore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视频初选≥2场</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复赛：≥2场</w:t>
            </w:r>
          </w:p>
          <w:p>
            <w:pPr>
              <w:keepNext w:val="0"/>
              <w:keepLines w:val="0"/>
              <w:pageBreakBefore w:val="0"/>
              <w:numPr>
                <w:ilvl w:val="0"/>
                <w:numId w:val="1"/>
              </w:numPr>
              <w:kinsoku/>
              <w:wordWrap/>
              <w:overflowPunct/>
              <w:topLinePunct w:val="0"/>
              <w:autoSpaceDE/>
              <w:autoSpaceDN/>
              <w:bidi w:val="0"/>
              <w:adjustRightInd/>
              <w:snapToGrid/>
              <w:spacing w:line="560" w:lineRule="exact"/>
              <w:ind w:left="0" w:leftChars="0" w:firstLine="640" w:firstLineChars="200"/>
              <w:textAlignment w:val="auto"/>
              <w:rPr>
                <w:rFonts w:hint="default"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决赛：≥1场</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b w:val="0"/>
                <w:bCs w:val="0"/>
                <w:color w:val="auto"/>
                <w:sz w:val="32"/>
                <w:szCs w:val="32"/>
                <w:highlight w:val="none"/>
                <w:lang w:val="en-US" w:eastAsia="zh-CN"/>
              </w:rPr>
            </w:pPr>
            <w:r>
              <w:rPr>
                <w:rFonts w:hint="eastAsia" w:ascii="仿宋_GB2312" w:hAnsi="仿宋_GB2312" w:eastAsia="仿宋_GB2312" w:cs="仿宋_GB2312"/>
                <w:b w:val="0"/>
                <w:bCs w:val="0"/>
                <w:color w:val="auto"/>
                <w:sz w:val="32"/>
                <w:szCs w:val="32"/>
                <w:highlight w:val="none"/>
                <w:lang w:val="en-US" w:eastAsia="zh-CN"/>
              </w:rPr>
              <w:t>4.</w:t>
            </w:r>
            <w:r>
              <w:rPr>
                <w:rFonts w:hint="eastAsia" w:ascii="仿宋_GB2312" w:hAnsi="仿宋_GB2312" w:eastAsia="仿宋_GB2312" w:cs="仿宋_GB2312"/>
                <w:color w:val="auto"/>
                <w:kern w:val="0"/>
                <w:sz w:val="32"/>
                <w:szCs w:val="32"/>
              </w:rPr>
              <w:t>邀请</w:t>
            </w:r>
            <w:r>
              <w:rPr>
                <w:rFonts w:hint="eastAsia" w:ascii="仿宋_GB2312" w:hAnsi="仿宋_GB2312" w:eastAsia="仿宋_GB2312" w:cs="仿宋_GB2312"/>
                <w:color w:val="auto"/>
                <w:kern w:val="0"/>
                <w:sz w:val="32"/>
                <w:szCs w:val="32"/>
                <w:lang w:eastAsia="zh-CN"/>
              </w:rPr>
              <w:t>粤剧粤曲</w:t>
            </w:r>
            <w:r>
              <w:rPr>
                <w:rFonts w:hint="eastAsia" w:ascii="仿宋_GB2312" w:hAnsi="仿宋_GB2312" w:eastAsia="仿宋_GB2312" w:cs="仿宋_GB2312"/>
                <w:color w:val="auto"/>
                <w:kern w:val="0"/>
                <w:sz w:val="32"/>
                <w:szCs w:val="32"/>
              </w:rPr>
              <w:t>艺术行业专家、学者不少于6人组成评委会</w:t>
            </w:r>
            <w:r>
              <w:rPr>
                <w:rFonts w:hint="eastAsia" w:ascii="仿宋_GB2312" w:hAnsi="仿宋_GB2312" w:eastAsia="仿宋_GB2312" w:cs="仿宋_GB2312"/>
                <w:color w:val="auto"/>
                <w:kern w:val="0"/>
                <w:sz w:val="32"/>
                <w:szCs w:val="32"/>
                <w:lang w:eastAsia="zh-CN"/>
              </w:rPr>
              <w:t>，评委会成员职称不低于副高级。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5" w:hRule="atLeast"/>
        </w:trPr>
        <w:tc>
          <w:tcPr>
            <w:tcW w:w="1827" w:type="dxa"/>
            <w:vAlign w:val="center"/>
          </w:tcPr>
          <w:p>
            <w:pPr>
              <w:keepNext w:val="0"/>
              <w:keepLines w:val="0"/>
              <w:pageBreakBefore w:val="0"/>
              <w:kinsoku/>
              <w:wordWrap/>
              <w:overflowPunct/>
              <w:topLinePunct w:val="0"/>
              <w:autoSpaceDE/>
              <w:autoSpaceDN/>
              <w:bidi w:val="0"/>
              <w:adjustRightInd/>
              <w:snapToGrid/>
              <w:spacing w:line="560" w:lineRule="exact"/>
              <w:ind w:firstLine="600"/>
              <w:jc w:val="center"/>
              <w:textAlignment w:val="auto"/>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粤剧名家讲座</w:t>
            </w:r>
          </w:p>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color w:val="auto"/>
                <w:sz w:val="32"/>
                <w:szCs w:val="32"/>
                <w:vertAlign w:val="baseline"/>
                <w:lang w:val="en-US" w:eastAsia="zh-CN"/>
              </w:rPr>
            </w:pPr>
          </w:p>
        </w:tc>
        <w:tc>
          <w:tcPr>
            <w:tcW w:w="7121" w:type="dxa"/>
          </w:tcPr>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1.举办1场粤剧粤曲名家讲座。</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2.讲座时长不少于1小时。</w:t>
            </w:r>
          </w:p>
          <w:p>
            <w:pPr>
              <w:keepNext w:val="0"/>
              <w:keepLines w:val="0"/>
              <w:pageBreakBefore w:val="0"/>
              <w:kinsoku/>
              <w:wordWrap/>
              <w:overflowPunct/>
              <w:topLinePunct w:val="0"/>
              <w:autoSpaceDE/>
              <w:autoSpaceDN/>
              <w:bidi w:val="0"/>
              <w:adjustRightInd/>
              <w:snapToGrid/>
              <w:spacing w:line="560" w:lineRule="exact"/>
              <w:ind w:firstLine="640" w:firstLineChars="200"/>
              <w:textAlignment w:val="auto"/>
              <w:outlineLvl w:val="9"/>
              <w:rPr>
                <w:rFonts w:hint="default"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3.受邀专家职称为副高级以上。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7" w:hRule="atLeast"/>
        </w:trPr>
        <w:tc>
          <w:tcPr>
            <w:tcW w:w="182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颁奖晚会暨粤剧粤曲名家展演</w:t>
            </w:r>
          </w:p>
        </w:tc>
        <w:tc>
          <w:tcPr>
            <w:tcW w:w="7121" w:type="dxa"/>
          </w:tcPr>
          <w:p>
            <w:pPr>
              <w:keepNext w:val="0"/>
              <w:keepLines w:val="0"/>
              <w:pageBreakBefore w:val="0"/>
              <w:kinsoku/>
              <w:wordWrap/>
              <w:overflowPunct/>
              <w:topLinePunct w:val="0"/>
              <w:autoSpaceDE/>
              <w:autoSpaceDN/>
              <w:bidi w:val="0"/>
              <w:adjustRightInd/>
              <w:snapToGrid/>
              <w:spacing w:line="560" w:lineRule="exact"/>
              <w:ind w:firstLine="601"/>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1.举办</w:t>
            </w:r>
            <w:r>
              <w:rPr>
                <w:rFonts w:hint="eastAsia" w:ascii="仿宋_GB2312" w:hAnsi="仿宋_GB2312" w:eastAsia="仿宋_GB2312" w:cs="仿宋_GB2312"/>
                <w:b w:val="0"/>
                <w:bCs/>
                <w:color w:val="auto"/>
                <w:sz w:val="32"/>
                <w:szCs w:val="32"/>
                <w:vertAlign w:val="baseline"/>
                <w:lang w:val="en-US" w:eastAsia="zh-CN"/>
              </w:rPr>
              <w:t>颁奖晚会暨粤剧粤曲名家展演1场。</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color w:val="auto"/>
                <w:kern w:val="0"/>
                <w:sz w:val="32"/>
                <w:szCs w:val="32"/>
                <w:lang w:val="en-US" w:eastAsia="zh-CN"/>
              </w:rPr>
              <w:t>2.邀请不少于5组优秀获奖节目上台表演；粤剧粤曲名家展演节目不少于两个。</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3.奖项设置</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（1）十佳粤剧粤曲唱家：10名，颁发证书、奖牌与奖金。（每组获奖节目不少于2000元）</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（2）优秀奖：不少于5名，颁发证书、奖牌。</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default"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color w:val="auto"/>
                <w:kern w:val="0"/>
                <w:sz w:val="32"/>
                <w:szCs w:val="32"/>
                <w:lang w:val="en-US" w:eastAsia="zh-CN"/>
              </w:rPr>
              <w:t>（3）优秀组织奖：不少于2名，颁发证书、奖牌。</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3" w:hRule="atLeast"/>
        </w:trPr>
        <w:tc>
          <w:tcPr>
            <w:tcW w:w="182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default"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 xml:space="preserve">其他项目 </w:t>
            </w:r>
          </w:p>
        </w:tc>
        <w:tc>
          <w:tcPr>
            <w:tcW w:w="7121" w:type="dxa"/>
          </w:tcPr>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lang w:eastAsia="zh-CN"/>
              </w:rPr>
              <w:t>.后期</w:t>
            </w:r>
            <w:r>
              <w:rPr>
                <w:rFonts w:hint="eastAsia" w:ascii="仿宋_GB2312" w:hAnsi="仿宋_GB2312" w:eastAsia="仿宋_GB2312" w:cs="仿宋_GB2312"/>
                <w:color w:val="auto"/>
                <w:kern w:val="0"/>
                <w:sz w:val="32"/>
                <w:szCs w:val="32"/>
              </w:rPr>
              <w:t>宣传：不少于3家市区级媒体宣传报道。</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3.活动</w:t>
            </w:r>
            <w:r>
              <w:rPr>
                <w:rFonts w:hint="eastAsia" w:ascii="仿宋_GB2312" w:hAnsi="仿宋_GB2312" w:eastAsia="仿宋_GB2312" w:cs="仿宋_GB2312"/>
                <w:color w:val="auto"/>
                <w:kern w:val="0"/>
                <w:sz w:val="32"/>
                <w:szCs w:val="32"/>
              </w:rPr>
              <w:t>全程活动花絮跟拍及音像制作</w:t>
            </w:r>
            <w:r>
              <w:rPr>
                <w:rFonts w:hint="eastAsia" w:ascii="仿宋_GB2312" w:hAnsi="仿宋_GB2312" w:eastAsia="仿宋_GB2312" w:cs="仿宋_GB2312"/>
                <w:color w:val="auto"/>
                <w:kern w:val="0"/>
                <w:sz w:val="32"/>
                <w:szCs w:val="32"/>
                <w:lang w:eastAsia="zh-CN"/>
              </w:rPr>
              <w:t>、剪辑；成品光盘</w:t>
            </w:r>
            <w:r>
              <w:rPr>
                <w:rFonts w:hint="eastAsia" w:ascii="仿宋_GB2312" w:hAnsi="仿宋_GB2312" w:eastAsia="仿宋_GB2312" w:cs="仿宋_GB2312"/>
                <w:color w:val="auto"/>
                <w:kern w:val="0"/>
                <w:sz w:val="32"/>
                <w:szCs w:val="32"/>
                <w:lang w:val="en-US" w:eastAsia="zh-CN"/>
              </w:rPr>
              <w:t>2套。</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eastAsia"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b w:val="0"/>
                <w:bCs w:val="0"/>
                <w:color w:val="auto"/>
                <w:sz w:val="32"/>
                <w:szCs w:val="32"/>
                <w:highlight w:val="none"/>
                <w:lang w:val="en-US" w:eastAsia="zh-CN"/>
              </w:rPr>
              <w:t>4.赛事与颁奖晚会需邀请一支不少于13人的伴奏乐队；专业主持人不少于1位；现场工作人员不少于8名；安保人员不少于15名；</w:t>
            </w:r>
            <w:r>
              <w:rPr>
                <w:rFonts w:hint="eastAsia" w:ascii="仿宋_GB2312" w:hAnsi="仿宋_GB2312" w:eastAsia="仿宋_GB2312" w:cs="仿宋_GB2312"/>
                <w:color w:val="auto"/>
                <w:kern w:val="0"/>
                <w:sz w:val="32"/>
                <w:szCs w:val="32"/>
                <w:lang w:val="en-US" w:eastAsia="zh-CN"/>
              </w:rPr>
              <w:t>需安装专业字幕机2台；星空背景幕1块。</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default" w:ascii="仿宋_GB2312" w:hAnsi="仿宋_GB2312" w:eastAsia="仿宋_GB2312" w:cs="仿宋_GB2312"/>
                <w:color w:val="auto"/>
                <w:kern w:val="0"/>
                <w:sz w:val="32"/>
                <w:szCs w:val="32"/>
                <w:lang w:val="en-US" w:eastAsia="zh-CN"/>
              </w:rPr>
            </w:pPr>
            <w:r>
              <w:rPr>
                <w:rFonts w:hint="eastAsia" w:ascii="仿宋_GB2312" w:hAnsi="仿宋_GB2312" w:eastAsia="仿宋_GB2312" w:cs="仿宋_GB2312"/>
                <w:color w:val="auto"/>
                <w:kern w:val="0"/>
                <w:sz w:val="32"/>
                <w:szCs w:val="32"/>
                <w:lang w:val="en-US" w:eastAsia="zh-CN"/>
              </w:rPr>
              <w:t>5.活动工作人员（含演员）交通费、劳务费、餐饮费。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45" w:hRule="atLeast"/>
        </w:trPr>
        <w:tc>
          <w:tcPr>
            <w:tcW w:w="1827" w:type="dxa"/>
            <w:vAlign w:val="center"/>
          </w:tcPr>
          <w:p>
            <w:pPr>
              <w:keepNext w:val="0"/>
              <w:keepLines w:val="0"/>
              <w:pageBreakBefore w:val="0"/>
              <w:kinsoku/>
              <w:wordWrap/>
              <w:overflowPunct/>
              <w:topLinePunct w:val="0"/>
              <w:autoSpaceDE/>
              <w:autoSpaceDN/>
              <w:bidi w:val="0"/>
              <w:adjustRightInd/>
              <w:snapToGrid/>
              <w:spacing w:line="560" w:lineRule="exact"/>
              <w:jc w:val="center"/>
              <w:textAlignment w:val="auto"/>
              <w:outlineLvl w:val="9"/>
              <w:rPr>
                <w:rFonts w:hint="eastAsia" w:ascii="仿宋_GB2312" w:hAnsi="仿宋_GB2312" w:eastAsia="仿宋_GB2312" w:cs="仿宋_GB2312"/>
                <w:b w:val="0"/>
                <w:bCs/>
                <w:color w:val="auto"/>
                <w:sz w:val="32"/>
                <w:szCs w:val="32"/>
                <w:vertAlign w:val="baseline"/>
                <w:lang w:val="en-US" w:eastAsia="zh-CN"/>
              </w:rPr>
            </w:pPr>
            <w:r>
              <w:rPr>
                <w:rFonts w:hint="eastAsia" w:ascii="仿宋_GB2312" w:hAnsi="仿宋_GB2312" w:eastAsia="仿宋_GB2312" w:cs="仿宋_GB2312"/>
                <w:b w:val="0"/>
                <w:bCs/>
                <w:color w:val="auto"/>
                <w:sz w:val="32"/>
                <w:szCs w:val="32"/>
                <w:vertAlign w:val="baseline"/>
                <w:lang w:val="en-US" w:eastAsia="zh-CN"/>
              </w:rPr>
              <w:t>服务要求</w:t>
            </w:r>
          </w:p>
        </w:tc>
        <w:tc>
          <w:tcPr>
            <w:tcW w:w="7121" w:type="dxa"/>
          </w:tcPr>
          <w:p>
            <w:pPr>
              <w:widowControl/>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1.每个项目均需有详细的小项目单价，不接受一个大项目报一个总价</w:t>
            </w:r>
            <w:r>
              <w:rPr>
                <w:rFonts w:hint="eastAsia" w:ascii="仿宋_GB2312" w:hAnsi="仿宋_GB2312" w:eastAsia="仿宋_GB2312" w:cs="仿宋_GB2312"/>
                <w:color w:val="auto"/>
                <w:kern w:val="0"/>
                <w:sz w:val="32"/>
                <w:szCs w:val="32"/>
                <w:lang w:eastAsia="zh-CN"/>
              </w:rPr>
              <w:t>。</w:t>
            </w:r>
          </w:p>
          <w:p>
            <w:pPr>
              <w:widowControl/>
              <w:ind w:firstLine="640" w:firstLineChars="200"/>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2.</w:t>
            </w:r>
            <w:r>
              <w:rPr>
                <w:rFonts w:hint="eastAsia" w:ascii="仿宋_GB2312" w:hAnsi="仿宋_GB2312" w:eastAsia="仿宋_GB2312" w:cs="仿宋_GB2312"/>
                <w:color w:val="auto"/>
                <w:kern w:val="0"/>
                <w:sz w:val="32"/>
                <w:szCs w:val="32"/>
                <w:lang w:eastAsia="zh-CN"/>
              </w:rPr>
              <w:t>赛事、颁奖晚会，讲座</w:t>
            </w:r>
            <w:r>
              <w:rPr>
                <w:rFonts w:hint="eastAsia" w:ascii="仿宋_GB2312" w:hAnsi="仿宋_GB2312" w:eastAsia="仿宋_GB2312" w:cs="仿宋_GB2312"/>
                <w:color w:val="auto"/>
                <w:kern w:val="0"/>
                <w:sz w:val="32"/>
                <w:szCs w:val="32"/>
              </w:rPr>
              <w:t>等工作需配备足够的有资质的专业人员</w:t>
            </w:r>
            <w:r>
              <w:rPr>
                <w:rFonts w:hint="eastAsia" w:ascii="仿宋_GB2312" w:hAnsi="仿宋_GB2312" w:eastAsia="仿宋_GB2312" w:cs="仿宋_GB2312"/>
                <w:color w:val="auto"/>
                <w:kern w:val="0"/>
                <w:sz w:val="32"/>
                <w:szCs w:val="32"/>
                <w:lang w:eastAsia="zh-CN"/>
              </w:rPr>
              <w:t>。</w:t>
            </w:r>
          </w:p>
          <w:p>
            <w:pPr>
              <w:keepNext w:val="0"/>
              <w:keepLines w:val="0"/>
              <w:pageBreakBefore w:val="0"/>
              <w:kinsoku/>
              <w:wordWrap/>
              <w:overflowPunct/>
              <w:topLinePunct w:val="0"/>
              <w:autoSpaceDE/>
              <w:autoSpaceDN/>
              <w:bidi w:val="0"/>
              <w:adjustRightInd/>
              <w:snapToGrid/>
              <w:spacing w:line="560" w:lineRule="exact"/>
              <w:ind w:firstLine="601"/>
              <w:textAlignment w:val="auto"/>
              <w:rPr>
                <w:rFonts w:hint="default" w:ascii="仿宋_GB2312" w:eastAsia="仿宋_GB2312"/>
                <w:bCs/>
                <w:color w:val="auto"/>
                <w:sz w:val="30"/>
                <w:szCs w:val="30"/>
                <w:lang w:val="en-US" w:eastAsia="zh-CN"/>
              </w:rPr>
            </w:pPr>
            <w:r>
              <w:rPr>
                <w:rFonts w:ascii="仿宋_GB2312" w:hAnsi="仿宋_GB2312" w:eastAsia="仿宋_GB2312" w:cs="仿宋_GB2312"/>
                <w:color w:val="auto"/>
                <w:kern w:val="0"/>
                <w:sz w:val="32"/>
                <w:szCs w:val="32"/>
              </w:rPr>
              <w:t>3</w:t>
            </w:r>
            <w:r>
              <w:rPr>
                <w:rFonts w:hint="eastAsia" w:ascii="仿宋_GB2312" w:hAnsi="仿宋_GB2312" w:eastAsia="仿宋_GB2312" w:cs="仿宋_GB2312"/>
                <w:color w:val="auto"/>
                <w:kern w:val="0"/>
                <w:sz w:val="32"/>
                <w:szCs w:val="32"/>
              </w:rPr>
              <w:t>.需有活动的详细策划开展方案。</w:t>
            </w:r>
          </w:p>
        </w:tc>
      </w:tr>
    </w:tbl>
    <w:p>
      <w:pPr>
        <w:keepNext w:val="0"/>
        <w:keepLines w:val="0"/>
        <w:pageBreakBefore w:val="0"/>
        <w:kinsoku/>
        <w:wordWrap/>
        <w:overflowPunct/>
        <w:topLinePunct w:val="0"/>
        <w:autoSpaceDE/>
        <w:autoSpaceDN/>
        <w:bidi w:val="0"/>
        <w:adjustRightInd/>
        <w:snapToGrid/>
        <w:spacing w:line="560" w:lineRule="exact"/>
        <w:textAlignment w:val="auto"/>
        <w:outlineLvl w:val="9"/>
        <w:rPr>
          <w:rFonts w:hint="eastAsia" w:ascii="仿宋_GB2312" w:hAnsi="仿宋_GB2312" w:eastAsia="仿宋_GB2312" w:cs="仿宋_GB2312"/>
          <w:color w:val="auto"/>
          <w:sz w:val="32"/>
          <w:szCs w:val="32"/>
          <w:lang w:val="en-US" w:eastAsia="zh-CN"/>
        </w:rPr>
      </w:pP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三、供应商资格要求</w:t>
      </w:r>
    </w:p>
    <w:p>
      <w:pPr>
        <w:widowControl/>
        <w:spacing w:line="560" w:lineRule="exact"/>
        <w:jc w:val="lef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sz w:val="32"/>
          <w:szCs w:val="32"/>
        </w:rPr>
        <w:t xml:space="preserve">　  </w:t>
      </w:r>
      <w:r>
        <w:rPr>
          <w:rFonts w:hint="eastAsia" w:ascii="仿宋_GB2312" w:hAnsi="仿宋_GB2312" w:eastAsia="仿宋_GB2312" w:cs="仿宋_GB2312"/>
          <w:color w:val="auto"/>
          <w:kern w:val="0"/>
          <w:sz w:val="32"/>
          <w:szCs w:val="32"/>
          <w:lang w:val="en-US" w:eastAsia="zh-CN"/>
        </w:rPr>
        <w:t>1.</w:t>
      </w:r>
      <w:r>
        <w:rPr>
          <w:rFonts w:hint="eastAsia" w:ascii="仿宋_GB2312" w:hAnsi="仿宋_GB2312" w:eastAsia="仿宋_GB2312" w:cs="仿宋_GB2312"/>
          <w:color w:val="auto"/>
          <w:kern w:val="0"/>
          <w:sz w:val="32"/>
          <w:szCs w:val="32"/>
        </w:rPr>
        <w:t>具有独立法人资格且经营范围须包含举办文艺活动资质（提供合法有效的营业执照原件扫描件，原件备查；如深圳企事业\社会团体营业执照未反映经营范围，须提供有关行政管理部门关于供应商经营范围查询结果的凭证）</w:t>
      </w:r>
      <w:r>
        <w:rPr>
          <w:rFonts w:hint="eastAsia" w:ascii="仿宋_GB2312" w:hAnsi="仿宋_GB2312" w:eastAsia="仿宋_GB2312" w:cs="仿宋_GB2312"/>
          <w:color w:val="auto"/>
          <w:kern w:val="0"/>
          <w:sz w:val="32"/>
          <w:szCs w:val="32"/>
          <w:lang w:eastAsia="zh-CN"/>
        </w:rPr>
        <w:t>。</w:t>
      </w:r>
    </w:p>
    <w:p>
      <w:pPr>
        <w:widowControl/>
        <w:spacing w:line="560" w:lineRule="exact"/>
        <w:rPr>
          <w:rFonts w:hint="eastAsia" w:ascii="仿宋_GB2312" w:hAnsi="仿宋_GB2312" w:eastAsia="仿宋_GB2312" w:cs="仿宋_GB2312"/>
          <w:color w:val="auto"/>
          <w:kern w:val="0"/>
          <w:sz w:val="32"/>
          <w:szCs w:val="32"/>
          <w:lang w:eastAsia="zh-CN"/>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 xml:space="preserve">  2.</w:t>
      </w:r>
      <w:r>
        <w:rPr>
          <w:rFonts w:hint="eastAsia" w:ascii="仿宋_GB2312" w:hAnsi="仿宋_GB2312" w:eastAsia="仿宋_GB2312" w:cs="仿宋_GB2312"/>
          <w:color w:val="auto"/>
          <w:kern w:val="0"/>
          <w:sz w:val="32"/>
          <w:szCs w:val="32"/>
        </w:rPr>
        <w:t>具备丰富的</w:t>
      </w:r>
      <w:r>
        <w:rPr>
          <w:rFonts w:hint="eastAsia" w:ascii="仿宋_GB2312" w:hAnsi="仿宋_GB2312" w:eastAsia="仿宋_GB2312" w:cs="仿宋_GB2312"/>
          <w:color w:val="auto"/>
          <w:kern w:val="0"/>
          <w:sz w:val="32"/>
          <w:szCs w:val="32"/>
          <w:lang w:eastAsia="zh-CN"/>
        </w:rPr>
        <w:t>市级粤剧粤曲活动赛事（展演）策划、举办</w:t>
      </w:r>
      <w:r>
        <w:rPr>
          <w:rFonts w:hint="eastAsia" w:ascii="仿宋_GB2312" w:hAnsi="仿宋_GB2312" w:eastAsia="仿宋_GB2312" w:cs="仿宋_GB2312"/>
          <w:color w:val="auto"/>
          <w:kern w:val="0"/>
          <w:sz w:val="32"/>
          <w:szCs w:val="32"/>
        </w:rPr>
        <w:t>经验，具有国家到省市区多层级的</w:t>
      </w:r>
      <w:r>
        <w:rPr>
          <w:rFonts w:hint="eastAsia" w:ascii="仿宋_GB2312" w:hAnsi="仿宋_GB2312" w:eastAsia="仿宋_GB2312" w:cs="仿宋_GB2312"/>
          <w:color w:val="auto"/>
          <w:kern w:val="0"/>
          <w:sz w:val="32"/>
          <w:szCs w:val="32"/>
          <w:lang w:eastAsia="zh-CN"/>
        </w:rPr>
        <w:t>粤剧粤曲名家、社团</w:t>
      </w:r>
      <w:r>
        <w:rPr>
          <w:rFonts w:hint="eastAsia" w:ascii="仿宋_GB2312" w:hAnsi="仿宋_GB2312" w:eastAsia="仿宋_GB2312" w:cs="仿宋_GB2312"/>
          <w:color w:val="auto"/>
          <w:kern w:val="0"/>
          <w:sz w:val="32"/>
          <w:szCs w:val="32"/>
        </w:rPr>
        <w:t>机构合作优势</w:t>
      </w:r>
      <w:r>
        <w:rPr>
          <w:rFonts w:hint="eastAsia" w:ascii="仿宋_GB2312" w:hAnsi="仿宋_GB2312" w:eastAsia="仿宋_GB2312" w:cs="仿宋_GB2312"/>
          <w:color w:val="auto"/>
          <w:kern w:val="0"/>
          <w:sz w:val="32"/>
          <w:szCs w:val="32"/>
          <w:lang w:eastAsia="zh-CN"/>
        </w:rPr>
        <w:t>。</w:t>
      </w:r>
    </w:p>
    <w:p>
      <w:pPr>
        <w:widowControl/>
        <w:spacing w:line="560" w:lineRule="exact"/>
        <w:jc w:val="left"/>
        <w:rPr>
          <w:rFonts w:ascii="仿宋_GB2312" w:hAnsi="仿宋_GB2312" w:eastAsia="仿宋_GB2312" w:cs="仿宋_GB2312"/>
          <w:color w:val="auto"/>
          <w:kern w:val="0"/>
          <w:sz w:val="32"/>
          <w:szCs w:val="32"/>
        </w:rPr>
      </w:pPr>
      <w:r>
        <w:rPr>
          <w:rFonts w:hint="eastAsia" w:ascii="仿宋_GB2312" w:hAnsi="仿宋_GB2312" w:eastAsia="仿宋_GB2312" w:cs="仿宋_GB2312"/>
          <w:color w:val="auto"/>
          <w:kern w:val="0"/>
          <w:sz w:val="32"/>
          <w:szCs w:val="32"/>
        </w:rPr>
        <w:t>　　</w:t>
      </w:r>
      <w:r>
        <w:rPr>
          <w:rFonts w:hint="eastAsia" w:ascii="仿宋_GB2312" w:hAnsi="仿宋_GB2312" w:eastAsia="仿宋_GB2312" w:cs="仿宋_GB2312"/>
          <w:color w:val="auto"/>
          <w:kern w:val="0"/>
          <w:sz w:val="32"/>
          <w:szCs w:val="32"/>
          <w:lang w:val="en-US" w:eastAsia="zh-CN"/>
        </w:rPr>
        <w:t>3.</w:t>
      </w:r>
      <w:r>
        <w:rPr>
          <w:rFonts w:hint="eastAsia" w:ascii="仿宋_GB2312" w:hAnsi="仿宋_GB2312" w:eastAsia="仿宋_GB2312" w:cs="仿宋_GB2312"/>
          <w:color w:val="auto"/>
          <w:kern w:val="0"/>
          <w:sz w:val="32"/>
          <w:szCs w:val="32"/>
        </w:rPr>
        <w:t>本项目不接受联合体投标，不允许分包。</w:t>
      </w: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四、评标定标方法</w:t>
      </w:r>
    </w:p>
    <w:p>
      <w:pPr>
        <w:widowControl/>
        <w:ind w:firstLine="640" w:firstLineChars="200"/>
        <w:jc w:val="left"/>
        <w:rPr>
          <w:rFonts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采用综合评分的评标方法，由我中心</w:t>
      </w:r>
      <w:r>
        <w:rPr>
          <w:rFonts w:hint="eastAsia" w:ascii="仿宋_GB2312" w:hAnsi="仿宋_GB2312" w:eastAsia="仿宋_GB2312" w:cs="仿宋_GB2312"/>
          <w:color w:val="auto"/>
          <w:sz w:val="32"/>
          <w:szCs w:val="32"/>
          <w:lang w:val="en-US" w:eastAsia="zh-CN"/>
        </w:rPr>
        <w:t>深圳经济特区建立40周年——深圳·光明粤剧粤曲艺术周</w:t>
      </w:r>
      <w:r>
        <w:rPr>
          <w:rFonts w:hint="eastAsia" w:ascii="仿宋_GB2312" w:hAnsi="仿宋_GB2312" w:eastAsia="仿宋_GB2312" w:cs="仿宋_GB2312"/>
          <w:color w:val="auto"/>
          <w:sz w:val="32"/>
          <w:szCs w:val="32"/>
        </w:rPr>
        <w:t>活动项目采购小组</w:t>
      </w:r>
      <w:r>
        <w:rPr>
          <w:rFonts w:hint="eastAsia" w:ascii="仿宋_GB2312" w:hAnsi="仿宋_GB2312" w:eastAsia="仿宋_GB2312" w:cs="仿宋_GB2312"/>
          <w:color w:val="auto"/>
          <w:sz w:val="32"/>
          <w:szCs w:val="32"/>
          <w:lang w:val="en-US" w:eastAsia="zh-CN"/>
        </w:rPr>
        <w:t>进行</w:t>
      </w:r>
      <w:r>
        <w:rPr>
          <w:rFonts w:hint="eastAsia" w:ascii="仿宋_GB2312" w:hAnsi="仿宋_GB2312" w:eastAsia="仿宋_GB2312" w:cs="仿宋_GB2312"/>
          <w:color w:val="auto"/>
          <w:sz w:val="32"/>
          <w:szCs w:val="32"/>
        </w:rPr>
        <w:t>评审。</w:t>
      </w:r>
    </w:p>
    <w:p>
      <w:pPr>
        <w:spacing w:line="560" w:lineRule="exact"/>
        <w:ind w:firstLine="640" w:firstLineChars="200"/>
        <w:rPr>
          <w:rFonts w:ascii="黑体" w:hAnsi="黑体" w:eastAsia="黑体" w:cs="仿宋"/>
          <w:color w:val="auto"/>
          <w:sz w:val="32"/>
          <w:szCs w:val="32"/>
        </w:rPr>
      </w:pPr>
      <w:r>
        <w:rPr>
          <w:rFonts w:hint="eastAsia" w:ascii="黑体" w:hAnsi="黑体" w:eastAsia="黑体" w:cs="仿宋"/>
          <w:color w:val="auto"/>
          <w:sz w:val="32"/>
          <w:szCs w:val="32"/>
        </w:rPr>
        <w:t>五、商务需求</w:t>
      </w:r>
    </w:p>
    <w:p>
      <w:pPr>
        <w:spacing w:line="560" w:lineRule="exact"/>
        <w:ind w:firstLine="640" w:firstLineChars="200"/>
        <w:rPr>
          <w:rFonts w:hint="eastAsia" w:ascii="仿宋_GB2312" w:hAnsi="仿宋" w:eastAsia="仿宋_GB2312" w:cs="仿宋"/>
          <w:color w:val="auto"/>
          <w:sz w:val="32"/>
          <w:szCs w:val="32"/>
          <w:lang w:eastAsia="zh-CN"/>
        </w:rPr>
      </w:pPr>
      <w:r>
        <w:rPr>
          <w:rFonts w:hint="eastAsia" w:ascii="仿宋_GB2312" w:hAnsi="仿宋" w:eastAsia="仿宋_GB2312" w:cs="仿宋"/>
          <w:color w:val="auto"/>
          <w:sz w:val="32"/>
          <w:szCs w:val="32"/>
        </w:rPr>
        <w:t>（一）服务期：2020年</w:t>
      </w:r>
      <w:r>
        <w:rPr>
          <w:rFonts w:hint="eastAsia" w:ascii="仿宋_GB2312" w:hAnsi="仿宋" w:eastAsia="仿宋_GB2312" w:cs="仿宋"/>
          <w:color w:val="auto"/>
          <w:sz w:val="32"/>
          <w:szCs w:val="32"/>
          <w:lang w:val="en-US" w:eastAsia="zh-CN"/>
        </w:rPr>
        <w:t>6</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10</w:t>
      </w:r>
      <w:r>
        <w:rPr>
          <w:rFonts w:hint="eastAsia" w:ascii="仿宋_GB2312" w:hAnsi="仿宋" w:eastAsia="仿宋_GB2312" w:cs="仿宋"/>
          <w:color w:val="auto"/>
          <w:sz w:val="32"/>
          <w:szCs w:val="32"/>
        </w:rPr>
        <w:t>日-2020年</w:t>
      </w:r>
      <w:r>
        <w:rPr>
          <w:rFonts w:hint="eastAsia" w:ascii="仿宋_GB2312" w:hAnsi="仿宋" w:eastAsia="仿宋_GB2312" w:cs="仿宋"/>
          <w:color w:val="auto"/>
          <w:sz w:val="32"/>
          <w:szCs w:val="32"/>
          <w:lang w:val="en-US" w:eastAsia="zh-CN"/>
        </w:rPr>
        <w:t>8</w:t>
      </w:r>
      <w:r>
        <w:rPr>
          <w:rFonts w:hint="eastAsia" w:ascii="仿宋_GB2312" w:hAnsi="仿宋" w:eastAsia="仿宋_GB2312" w:cs="仿宋"/>
          <w:color w:val="auto"/>
          <w:sz w:val="32"/>
          <w:szCs w:val="32"/>
        </w:rPr>
        <w:t>月</w:t>
      </w:r>
      <w:r>
        <w:rPr>
          <w:rFonts w:hint="eastAsia" w:ascii="仿宋_GB2312" w:hAnsi="仿宋" w:eastAsia="仿宋_GB2312" w:cs="仿宋"/>
          <w:color w:val="auto"/>
          <w:sz w:val="32"/>
          <w:szCs w:val="32"/>
          <w:lang w:val="en-US" w:eastAsia="zh-CN"/>
        </w:rPr>
        <w:t>31</w:t>
      </w:r>
      <w:r>
        <w:rPr>
          <w:rFonts w:hint="eastAsia" w:ascii="仿宋_GB2312" w:hAnsi="仿宋" w:eastAsia="仿宋_GB2312" w:cs="仿宋"/>
          <w:color w:val="auto"/>
          <w:sz w:val="32"/>
          <w:szCs w:val="32"/>
        </w:rPr>
        <w:t>日</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w:t>
      </w:r>
      <w:r>
        <w:rPr>
          <w:rFonts w:hint="eastAsia" w:ascii="仿宋_GB2312" w:hAnsi="仿宋" w:eastAsia="仿宋_GB2312" w:cs="仿宋"/>
          <w:color w:val="auto"/>
          <w:sz w:val="32"/>
          <w:szCs w:val="32"/>
          <w:lang w:eastAsia="zh-CN"/>
        </w:rPr>
        <w:t>二</w:t>
      </w:r>
      <w:r>
        <w:rPr>
          <w:rFonts w:hint="eastAsia" w:ascii="仿宋_GB2312" w:hAnsi="仿宋" w:eastAsia="仿宋_GB2312" w:cs="仿宋"/>
          <w:color w:val="auto"/>
          <w:sz w:val="32"/>
          <w:szCs w:val="32"/>
        </w:rPr>
        <w:t>）报价要求：</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1.本项目服务费采用包干制，应包括服务成本、法定税费和企业的利润。由投标供应商根据采购文件所提供的资料自行测算投标报价；一经中标，报价总价作为中标供应商与采购人签定的合同金额，合同期限内不做调整。</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2.投标供应商应当根据本企业的成本自行决定报价，但不得以低于其企业成本的报价投标。</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3.投标供应商的报价不得超过项目预算金额。</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4.投标供应商的报价，应当是本项目采购范围和采购文件及合同条款上所列的各项内容中所述的全部，不得以任何理由予以重复。</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5.除非采购人通过修改采购文件予以更正，否则，投标供应商应毫无例外地按响应文件所列的清单中项目和数量填报综合单价和合价。投标供应商未填综合单价或合价的项目，在实施后，将不得以支付，并视作该项费用已包括在其它有价款的综合单价或合价内。</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6.投标供应商应先到项目地点踏勘以充分了解项目的位置、情况、道路及任何其它足以影响投标报价的情况，任何因忽视或误解项目情况而导致的索赔或服务期限延长申请将不获批准。</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7.投标供应商不得期望通过索赔等方式获取补偿，否则，除可能遭到拒绝外，还可能将被作为不良行为记录在案，并可能影响其以后参加政府采购的项目投标。各投标供应商在报价时，应充分考虑报价的风险。</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（四）付款方式：活动开展前支付首款（活动总价7</w:t>
      </w:r>
      <w:r>
        <w:rPr>
          <w:rFonts w:ascii="仿宋_GB2312" w:hAnsi="仿宋" w:eastAsia="仿宋_GB2312" w:cs="仿宋"/>
          <w:color w:val="auto"/>
          <w:sz w:val="32"/>
          <w:szCs w:val="32"/>
        </w:rPr>
        <w:t>0</w:t>
      </w:r>
      <w:r>
        <w:rPr>
          <w:rFonts w:hint="eastAsia" w:ascii="仿宋" w:hAnsi="仿宋" w:eastAsia="仿宋" w:cs="仿宋"/>
          <w:color w:val="auto"/>
          <w:sz w:val="32"/>
          <w:szCs w:val="32"/>
        </w:rPr>
        <w:t>％</w:t>
      </w:r>
      <w:r>
        <w:rPr>
          <w:rFonts w:hint="eastAsia" w:ascii="仿宋_GB2312" w:hAnsi="仿宋" w:eastAsia="仿宋_GB2312" w:cs="仿宋"/>
          <w:color w:val="auto"/>
          <w:sz w:val="32"/>
          <w:szCs w:val="32"/>
        </w:rPr>
        <w:t>），活动结束经由甲方验收合格后支付余款（活动总价30％）。</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（五）违约责任：供应商未按照合同约定完成服务内容，应向采购方返还已收取的服务总费用，并向采购方支付服务总费用20%的违约金。</w:t>
      </w:r>
    </w:p>
    <w:p>
      <w:pPr>
        <w:spacing w:line="560" w:lineRule="exact"/>
        <w:ind w:firstLine="640" w:firstLineChars="200"/>
        <w:rPr>
          <w:rFonts w:ascii="仿宋_GB2312" w:hAnsi="仿宋" w:eastAsia="仿宋_GB2312" w:cs="仿宋"/>
          <w:color w:val="auto"/>
          <w:sz w:val="32"/>
          <w:szCs w:val="32"/>
        </w:rPr>
      </w:pPr>
      <w:r>
        <w:rPr>
          <w:rFonts w:hint="eastAsia" w:ascii="仿宋_GB2312" w:hAnsi="仿宋" w:eastAsia="仿宋_GB2312" w:cs="仿宋"/>
          <w:color w:val="auto"/>
          <w:sz w:val="32"/>
          <w:szCs w:val="32"/>
        </w:rPr>
        <w:t>（六）警示条款：光明区公共文化艺术发展中心有权对所有投标供应商就本项目招标文件要求提供的相关证明材料（原件）进行审查。供应商提供虚假资料被查实的，则可能面临被取消本项目中标资格、列入不良行为记录名单且三年内禁止参与本单位采购活动的风险。</w:t>
      </w:r>
    </w:p>
    <w:sectPr>
      <w:pgSz w:w="11906" w:h="16838"/>
      <w:pgMar w:top="2098" w:right="1587" w:bottom="2098"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altName w:val="黑体"/>
    <w:panose1 w:val="00000000000000000000"/>
    <w:charset w:val="86"/>
    <w:family w:val="auto"/>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ED59512"/>
    <w:multiLevelType w:val="singleLevel"/>
    <w:tmpl w:val="AED5951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A00594E"/>
    <w:rsid w:val="000500B0"/>
    <w:rsid w:val="000509F5"/>
    <w:rsid w:val="0007640E"/>
    <w:rsid w:val="000A467A"/>
    <w:rsid w:val="000D237E"/>
    <w:rsid w:val="000E3DD8"/>
    <w:rsid w:val="00166D53"/>
    <w:rsid w:val="00177B2F"/>
    <w:rsid w:val="001C78E4"/>
    <w:rsid w:val="002422A4"/>
    <w:rsid w:val="002971EA"/>
    <w:rsid w:val="002D68B8"/>
    <w:rsid w:val="002D7DA2"/>
    <w:rsid w:val="00311F54"/>
    <w:rsid w:val="00386856"/>
    <w:rsid w:val="003E5CED"/>
    <w:rsid w:val="003F1B29"/>
    <w:rsid w:val="00462ABC"/>
    <w:rsid w:val="0046569C"/>
    <w:rsid w:val="0048741D"/>
    <w:rsid w:val="004B4E72"/>
    <w:rsid w:val="0051037A"/>
    <w:rsid w:val="00530FDD"/>
    <w:rsid w:val="00550727"/>
    <w:rsid w:val="00555639"/>
    <w:rsid w:val="005B0C9F"/>
    <w:rsid w:val="005E0901"/>
    <w:rsid w:val="00616905"/>
    <w:rsid w:val="00630B6D"/>
    <w:rsid w:val="006D1385"/>
    <w:rsid w:val="00720B5A"/>
    <w:rsid w:val="0072512E"/>
    <w:rsid w:val="007C6571"/>
    <w:rsid w:val="007E1F30"/>
    <w:rsid w:val="007E22A2"/>
    <w:rsid w:val="008746B4"/>
    <w:rsid w:val="008F4860"/>
    <w:rsid w:val="008F7A4C"/>
    <w:rsid w:val="00962772"/>
    <w:rsid w:val="009D4A83"/>
    <w:rsid w:val="00A50F5C"/>
    <w:rsid w:val="00A5134C"/>
    <w:rsid w:val="00A672CC"/>
    <w:rsid w:val="00B229E3"/>
    <w:rsid w:val="00B244C0"/>
    <w:rsid w:val="00BD0CD9"/>
    <w:rsid w:val="00C13785"/>
    <w:rsid w:val="00C746A6"/>
    <w:rsid w:val="00C77BF2"/>
    <w:rsid w:val="00CE4B69"/>
    <w:rsid w:val="00CE796E"/>
    <w:rsid w:val="00D26115"/>
    <w:rsid w:val="00DC6E2B"/>
    <w:rsid w:val="00E237F3"/>
    <w:rsid w:val="00E25CAD"/>
    <w:rsid w:val="00F21A7A"/>
    <w:rsid w:val="00F2579C"/>
    <w:rsid w:val="00F613A1"/>
    <w:rsid w:val="00FB1DFD"/>
    <w:rsid w:val="00FB60CF"/>
    <w:rsid w:val="00FC25CD"/>
    <w:rsid w:val="00FF14CF"/>
    <w:rsid w:val="02BF6FB5"/>
    <w:rsid w:val="0490484C"/>
    <w:rsid w:val="05F27C1E"/>
    <w:rsid w:val="061B2033"/>
    <w:rsid w:val="065E0205"/>
    <w:rsid w:val="0ACF0CFF"/>
    <w:rsid w:val="0CF343DE"/>
    <w:rsid w:val="0F37321F"/>
    <w:rsid w:val="0FC64D56"/>
    <w:rsid w:val="11EC0997"/>
    <w:rsid w:val="1357189B"/>
    <w:rsid w:val="147B3CC5"/>
    <w:rsid w:val="15DF7220"/>
    <w:rsid w:val="18992D6C"/>
    <w:rsid w:val="1E884CED"/>
    <w:rsid w:val="1EFD357E"/>
    <w:rsid w:val="20D95C54"/>
    <w:rsid w:val="23130102"/>
    <w:rsid w:val="235F2DC2"/>
    <w:rsid w:val="242D2F57"/>
    <w:rsid w:val="24D11FF9"/>
    <w:rsid w:val="26D82629"/>
    <w:rsid w:val="27C078D9"/>
    <w:rsid w:val="28CB32E5"/>
    <w:rsid w:val="35FA6E85"/>
    <w:rsid w:val="39057125"/>
    <w:rsid w:val="3AD61A21"/>
    <w:rsid w:val="3B93134D"/>
    <w:rsid w:val="3B9F6792"/>
    <w:rsid w:val="3BA61306"/>
    <w:rsid w:val="3D4951DC"/>
    <w:rsid w:val="3E20584D"/>
    <w:rsid w:val="4039653A"/>
    <w:rsid w:val="403E391F"/>
    <w:rsid w:val="43B6311F"/>
    <w:rsid w:val="4476528E"/>
    <w:rsid w:val="45535088"/>
    <w:rsid w:val="456F2873"/>
    <w:rsid w:val="45AE47F4"/>
    <w:rsid w:val="479A037D"/>
    <w:rsid w:val="4C673D20"/>
    <w:rsid w:val="4DA754F4"/>
    <w:rsid w:val="4E4669C2"/>
    <w:rsid w:val="510A5FAD"/>
    <w:rsid w:val="51795ABA"/>
    <w:rsid w:val="570E5D4A"/>
    <w:rsid w:val="574C5E83"/>
    <w:rsid w:val="57EC1BAA"/>
    <w:rsid w:val="58AE051D"/>
    <w:rsid w:val="59C77721"/>
    <w:rsid w:val="5A00594E"/>
    <w:rsid w:val="5A3217BA"/>
    <w:rsid w:val="5ABE01BA"/>
    <w:rsid w:val="5CDD219D"/>
    <w:rsid w:val="629A757C"/>
    <w:rsid w:val="649A5F29"/>
    <w:rsid w:val="67AF2601"/>
    <w:rsid w:val="67B12BC2"/>
    <w:rsid w:val="68FC5377"/>
    <w:rsid w:val="6BCB5B1A"/>
    <w:rsid w:val="6C47438A"/>
    <w:rsid w:val="6ED43437"/>
    <w:rsid w:val="7A4D3796"/>
    <w:rsid w:val="7A5E7EBE"/>
    <w:rsid w:val="7C0D183C"/>
    <w:rsid w:val="7CB036B8"/>
    <w:rsid w:val="7FBA0F5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6">
    <w:name w:val="Default Paragraph Font"/>
    <w:unhideWhenUsed/>
    <w:uiPriority w:val="1"/>
  </w:style>
  <w:style w:type="table" w:default="1" w:styleId="4">
    <w:name w:val="Normal Table"/>
    <w:unhideWhenUsed/>
    <w:qFormat/>
    <w:uiPriority w:val="99"/>
    <w:tblPr>
      <w:tblCellMar>
        <w:top w:w="0" w:type="dxa"/>
        <w:left w:w="108" w:type="dxa"/>
        <w:bottom w:w="0" w:type="dxa"/>
        <w:right w:w="108" w:type="dxa"/>
      </w:tblCellMar>
    </w:tblPr>
  </w:style>
  <w:style w:type="paragraph" w:styleId="2">
    <w:name w:val="footer"/>
    <w:basedOn w:val="1"/>
    <w:link w:val="8"/>
    <w:qFormat/>
    <w:uiPriority w:val="0"/>
    <w:pPr>
      <w:tabs>
        <w:tab w:val="center" w:pos="4153"/>
        <w:tab w:val="right" w:pos="8306"/>
      </w:tabs>
      <w:snapToGrid w:val="0"/>
      <w:jc w:val="left"/>
    </w:pPr>
    <w:rPr>
      <w:sz w:val="18"/>
      <w:szCs w:val="18"/>
    </w:rPr>
  </w:style>
  <w:style w:type="paragraph" w:styleId="3">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0"/>
    <w:rPr>
      <w:rFonts w:ascii="Calibri" w:hAnsi="Calibri"/>
      <w:kern w:val="2"/>
      <w:sz w:val="18"/>
      <w:szCs w:val="18"/>
    </w:rPr>
  </w:style>
  <w:style w:type="character" w:customStyle="1" w:styleId="8">
    <w:name w:val="页脚 字符"/>
    <w:basedOn w:val="6"/>
    <w:link w:val="2"/>
    <w:qFormat/>
    <w:uiPriority w:val="0"/>
    <w:rPr>
      <w:rFonts w:ascii="Calibri" w:hAnsi="Calibri"/>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C87D13-F5A2-4A2B-80FE-4FBF60C7691E}">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4</Pages>
  <Words>265</Words>
  <Characters>1515</Characters>
  <Lines>12</Lines>
  <Paragraphs>3</Paragraphs>
  <TotalTime>20</TotalTime>
  <ScaleCrop>false</ScaleCrop>
  <LinksUpToDate>false</LinksUpToDate>
  <CharactersWithSpaces>1777</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2019-08-27T07:14:00Z</dcterms:created>
  <dc:creator>Maggie</dc:creator>
  <cp:lastModifiedBy>ZY</cp:lastModifiedBy>
  <cp:lastPrinted>2020-06-11T09:42:00Z</cp:lastPrinted>
  <dcterms:modified xsi:type="dcterms:W3CDTF">2020-06-12T09:25:06Z</dcterms:modified>
  <cp:revision>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