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宋体" w:hAnsi="宋体" w:eastAsia="宋体" w:cs="宋体"/>
          <w:b w:val="0"/>
          <w:bCs/>
          <w:sz w:val="44"/>
          <w:szCs w:val="44"/>
          <w:highlight w:val="none"/>
        </w:rPr>
      </w:pPr>
      <w:bookmarkStart w:id="1" w:name="_GoBack"/>
      <w:r>
        <w:rPr>
          <w:rFonts w:hint="eastAsia" w:ascii="宋体" w:hAnsi="宋体" w:eastAsia="宋体" w:cs="宋体"/>
          <w:bCs/>
          <w:sz w:val="44"/>
          <w:szCs w:val="44"/>
          <w:highlight w:val="none"/>
        </w:rPr>
        <w:t>光明区</w:t>
      </w:r>
      <w:r>
        <w:rPr>
          <w:rFonts w:hint="eastAsia" w:ascii="宋体" w:hAnsi="宋体" w:eastAsia="宋体" w:cs="宋体"/>
          <w:bCs/>
          <w:sz w:val="44"/>
          <w:szCs w:val="44"/>
          <w:highlight w:val="none"/>
          <w:lang w:val="en-US" w:eastAsia="zh-CN"/>
        </w:rPr>
        <w:t>公共文化艺术发展中心信息系统渗透服务</w:t>
      </w:r>
      <w:r>
        <w:rPr>
          <w:rFonts w:hint="eastAsia" w:ascii="宋体" w:hAnsi="宋体" w:eastAsia="宋体" w:cs="宋体"/>
          <w:b w:val="0"/>
          <w:bCs/>
          <w:sz w:val="44"/>
          <w:szCs w:val="44"/>
          <w:highlight w:val="none"/>
          <w:lang w:eastAsia="zh-CN"/>
        </w:rPr>
        <w:t>项目</w:t>
      </w:r>
      <w:r>
        <w:rPr>
          <w:rFonts w:hint="eastAsia" w:ascii="宋体" w:hAnsi="宋体" w:eastAsia="宋体" w:cs="宋体"/>
          <w:b w:val="0"/>
          <w:bCs/>
          <w:sz w:val="44"/>
          <w:szCs w:val="44"/>
          <w:highlight w:val="none"/>
        </w:rPr>
        <w:t>采购需求</w:t>
      </w:r>
    </w:p>
    <w:bookmarkEnd w:id="1"/>
    <w:p>
      <w:pPr>
        <w:spacing w:line="578" w:lineRule="exact"/>
        <w:jc w:val="both"/>
        <w:rPr>
          <w:rFonts w:hint="eastAsia" w:ascii="黑体" w:hAnsi="黑体" w:eastAsia="黑体" w:cs="黑体"/>
          <w:sz w:val="32"/>
          <w:szCs w:val="32"/>
          <w:highlight w:val="none"/>
        </w:rPr>
      </w:pPr>
    </w:p>
    <w:p>
      <w:pPr>
        <w:spacing w:line="578" w:lineRule="exact"/>
        <w:jc w:val="left"/>
        <w:rPr>
          <w:rFonts w:ascii="黑体" w:hAnsi="黑体" w:eastAsia="黑体" w:cs="黑体"/>
          <w:sz w:val="32"/>
          <w:szCs w:val="32"/>
          <w:highlight w:val="none"/>
        </w:rPr>
      </w:pPr>
      <w:r>
        <w:rPr>
          <w:rFonts w:hint="eastAsia" w:ascii="黑体" w:hAnsi="黑体" w:eastAsia="黑体" w:cs="黑体"/>
          <w:sz w:val="32"/>
          <w:szCs w:val="32"/>
          <w:highlight w:val="none"/>
        </w:rPr>
        <w:t>一、采购项目概况</w:t>
      </w:r>
    </w:p>
    <w:p>
      <w:pPr>
        <w:spacing w:line="578" w:lineRule="exact"/>
        <w:jc w:val="left"/>
        <w:rPr>
          <w:rFonts w:hint="default" w:ascii="仿宋" w:hAnsi="仿宋" w:eastAsia="仿宋" w:cs="仿宋_GB2312"/>
          <w:sz w:val="32"/>
          <w:szCs w:val="32"/>
          <w:highlight w:val="none"/>
          <w:lang w:val="en-US" w:eastAsia="zh-CN"/>
        </w:rPr>
      </w:pPr>
      <w:bookmarkStart w:id="0" w:name="_Hlk47626645"/>
      <w:r>
        <w:rPr>
          <w:rFonts w:hint="eastAsia" w:ascii="仿宋" w:hAnsi="仿宋" w:eastAsia="仿宋" w:cs="仿宋_GB2312"/>
          <w:sz w:val="32"/>
          <w:szCs w:val="32"/>
          <w:highlight w:val="none"/>
        </w:rPr>
        <w:t>项目</w:t>
      </w:r>
      <w:bookmarkEnd w:id="0"/>
      <w:r>
        <w:rPr>
          <w:rFonts w:hint="eastAsia" w:ascii="仿宋" w:hAnsi="仿宋" w:eastAsia="仿宋" w:cs="仿宋_GB2312"/>
          <w:sz w:val="32"/>
          <w:szCs w:val="32"/>
          <w:highlight w:val="none"/>
        </w:rPr>
        <w:t>名称：光明区</w:t>
      </w:r>
      <w:r>
        <w:rPr>
          <w:rFonts w:hint="eastAsia" w:ascii="仿宋" w:hAnsi="仿宋" w:eastAsia="仿宋" w:cs="仿宋_GB2312"/>
          <w:sz w:val="32"/>
          <w:szCs w:val="32"/>
          <w:highlight w:val="none"/>
          <w:lang w:val="en-US" w:eastAsia="zh-CN"/>
        </w:rPr>
        <w:t>公共文化艺术发展中心信息系统渗透服务</w:t>
      </w:r>
    </w:p>
    <w:p>
      <w:pPr>
        <w:spacing w:line="578" w:lineRule="exact"/>
        <w:jc w:val="left"/>
        <w:rPr>
          <w:rFonts w:hint="eastAsia" w:ascii="仿宋" w:hAnsi="仿宋" w:eastAsia="仿宋" w:cs="仿宋_GB2312"/>
          <w:sz w:val="32"/>
          <w:szCs w:val="32"/>
          <w:highlight w:val="none"/>
          <w:lang w:val="en-US" w:eastAsia="zh-CN"/>
        </w:rPr>
      </w:pPr>
      <w:r>
        <w:rPr>
          <w:rFonts w:hint="eastAsia" w:ascii="仿宋" w:hAnsi="仿宋" w:eastAsia="仿宋" w:cs="仿宋_GB2312"/>
          <w:sz w:val="32"/>
          <w:szCs w:val="32"/>
          <w:highlight w:val="none"/>
        </w:rPr>
        <w:t>项目预算：</w:t>
      </w:r>
      <w:r>
        <w:rPr>
          <w:rFonts w:hint="eastAsia" w:ascii="仿宋" w:hAnsi="仿宋" w:eastAsia="仿宋" w:cs="仿宋_GB2312"/>
          <w:sz w:val="32"/>
          <w:szCs w:val="32"/>
          <w:highlight w:val="none"/>
          <w:lang w:val="en-US" w:eastAsia="zh-CN"/>
        </w:rPr>
        <w:t>16</w:t>
      </w:r>
      <w:r>
        <w:rPr>
          <w:rFonts w:hint="eastAsia" w:ascii="仿宋" w:hAnsi="仿宋" w:eastAsia="仿宋" w:cs="仿宋_GB2312"/>
          <w:sz w:val="32"/>
          <w:szCs w:val="32"/>
          <w:highlight w:val="none"/>
        </w:rPr>
        <w:t>万元</w:t>
      </w:r>
      <w:r>
        <w:rPr>
          <w:rFonts w:hint="eastAsia" w:ascii="仿宋" w:hAnsi="仿宋" w:eastAsia="仿宋" w:cs="仿宋_GB2312"/>
          <w:sz w:val="32"/>
          <w:szCs w:val="32"/>
          <w:highlight w:val="none"/>
          <w:lang w:val="en-US" w:eastAsia="zh-CN"/>
        </w:rPr>
        <w:t>（报价高于16万以上无效）</w:t>
      </w:r>
    </w:p>
    <w:p>
      <w:pPr>
        <w:spacing w:line="578" w:lineRule="exact"/>
        <w:jc w:val="left"/>
        <w:rPr>
          <w:rFonts w:hint="eastAsia" w:ascii="仿宋" w:hAnsi="仿宋" w:eastAsia="仿宋" w:cs="仿宋_GB2312"/>
          <w:sz w:val="32"/>
          <w:szCs w:val="32"/>
          <w:lang w:eastAsia="zh-CN"/>
        </w:rPr>
      </w:pPr>
      <w:r>
        <w:rPr>
          <w:rFonts w:ascii="仿宋" w:hAnsi="仿宋" w:eastAsia="仿宋" w:cs="仿宋_GB2312"/>
          <w:sz w:val="32"/>
          <w:szCs w:val="32"/>
          <w:highlight w:val="none"/>
        </w:rPr>
        <w:t>项目介绍</w:t>
      </w:r>
      <w:r>
        <w:rPr>
          <w:rFonts w:hint="eastAsia" w:ascii="仿宋" w:hAnsi="仿宋" w:eastAsia="仿宋" w:cs="仿宋_GB2312"/>
          <w:sz w:val="32"/>
          <w:szCs w:val="32"/>
          <w:highlight w:val="none"/>
        </w:rPr>
        <w:t>：光明区</w:t>
      </w:r>
      <w:r>
        <w:rPr>
          <w:rFonts w:hint="eastAsia" w:ascii="仿宋" w:hAnsi="仿宋" w:eastAsia="仿宋" w:cs="仿宋_GB2312"/>
          <w:sz w:val="32"/>
          <w:szCs w:val="32"/>
          <w:highlight w:val="none"/>
          <w:lang w:val="en-US" w:eastAsia="zh-CN"/>
        </w:rPr>
        <w:t>公共文化艺术发展中心</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共有8个信息系统及门户网站，</w:t>
      </w:r>
      <w:r>
        <w:rPr>
          <w:rFonts w:hint="eastAsia" w:ascii="仿宋_GB2312" w:hAnsi="仿宋_GB2312" w:eastAsia="仿宋_GB2312" w:cs="仿宋_GB2312"/>
          <w:kern w:val="0"/>
          <w:sz w:val="32"/>
          <w:szCs w:val="32"/>
          <w:lang w:val="en-US" w:eastAsia="zh-CN" w:bidi="ar-SA"/>
        </w:rPr>
        <w:t>为</w:t>
      </w:r>
      <w:r>
        <w:rPr>
          <w:rFonts w:hint="eastAsia" w:ascii="仿宋_GB2312" w:hAnsi="仿宋_GB2312" w:eastAsia="仿宋_GB2312" w:cs="仿宋_GB2312"/>
          <w:i w:val="0"/>
          <w:caps w:val="0"/>
          <w:color w:val="040404"/>
          <w:spacing w:val="0"/>
          <w:sz w:val="32"/>
          <w:szCs w:val="32"/>
          <w:highlight w:val="none"/>
          <w:shd w:val="clear" w:color="auto" w:fill="FFFFFF"/>
          <w:lang w:val="en-US" w:eastAsia="zh-CN"/>
        </w:rPr>
        <w:t>了加强门户网站及信息系统安全，拟聘请第三专业机构模拟黑客攻击开展渗透测试，找出网站及信息系统存在的安全隐患。</w:t>
      </w:r>
    </w:p>
    <w:p>
      <w:pPr>
        <w:spacing w:line="578" w:lineRule="exact"/>
        <w:rPr>
          <w:rFonts w:ascii="黑体" w:hAnsi="黑体" w:eastAsia="黑体" w:cs="黑体"/>
          <w:sz w:val="32"/>
          <w:szCs w:val="32"/>
        </w:rPr>
      </w:pPr>
      <w:r>
        <w:rPr>
          <w:rFonts w:hint="eastAsia" w:ascii="黑体" w:hAnsi="黑体" w:eastAsia="黑体" w:cs="黑体"/>
          <w:sz w:val="32"/>
          <w:szCs w:val="32"/>
        </w:rPr>
        <w:t>二、项目服务要求</w:t>
      </w:r>
    </w:p>
    <w:p>
      <w:pPr>
        <w:numPr>
          <w:ilvl w:val="0"/>
          <w:numId w:val="1"/>
        </w:numPr>
        <w:spacing w:line="578" w:lineRule="exact"/>
        <w:ind w:firstLine="0" w:firstLineChars="0"/>
        <w:rPr>
          <w:rFonts w:hint="eastAsia" w:ascii="仿宋_GB2312" w:eastAsia="仿宋_GB2312"/>
          <w:color w:val="000000"/>
          <w:sz w:val="32"/>
          <w:szCs w:val="32"/>
        </w:rPr>
      </w:pPr>
      <w:r>
        <w:rPr>
          <w:rFonts w:hint="eastAsia" w:ascii="仿宋_GB2312" w:eastAsia="仿宋_GB2312"/>
          <w:color w:val="000000"/>
          <w:sz w:val="32"/>
          <w:szCs w:val="32"/>
          <w:lang w:eastAsia="zh-CN"/>
        </w:rPr>
        <w:t>根</w:t>
      </w:r>
      <w:r>
        <w:rPr>
          <w:rFonts w:hint="eastAsia" w:ascii="仿宋_GB2312" w:eastAsia="仿宋_GB2312"/>
          <w:color w:val="000000"/>
          <w:sz w:val="32"/>
          <w:szCs w:val="32"/>
        </w:rPr>
        <w:t>据</w:t>
      </w:r>
      <w:r>
        <w:rPr>
          <w:rFonts w:hint="eastAsia" w:ascii="仿宋_GB2312" w:eastAsia="仿宋_GB2312"/>
          <w:color w:val="000000"/>
          <w:sz w:val="32"/>
          <w:szCs w:val="32"/>
          <w:lang w:eastAsia="zh-CN"/>
        </w:rPr>
        <w:t>深圳市光明区公共文化艺术发展中心</w:t>
      </w:r>
      <w:r>
        <w:rPr>
          <w:rFonts w:hint="eastAsia" w:ascii="仿宋_GB2312" w:eastAsia="仿宋_GB2312"/>
          <w:color w:val="000000"/>
          <w:sz w:val="32"/>
          <w:szCs w:val="32"/>
        </w:rPr>
        <w:t>提供的系统清单，在合同约定的时间内通过网络层、系统层、应用层三个方面进行渗透测试，重点发现网站应用层业务流程和逻辑上的安全漏洞和敏感信息泄露的风险，输出渗透测试报告。</w:t>
      </w:r>
    </w:p>
    <w:p>
      <w:pPr>
        <w:numPr>
          <w:ilvl w:val="-1"/>
          <w:numId w:val="0"/>
        </w:numPr>
        <w:spacing w:line="578" w:lineRule="exact"/>
        <w:ind w:firstLine="0" w:firstLineChars="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w:t>
      </w:r>
      <w:r>
        <w:rPr>
          <w:rFonts w:hint="eastAsia" w:ascii="仿宋_GB2312" w:eastAsia="仿宋_GB2312"/>
          <w:color w:val="000000"/>
          <w:sz w:val="32"/>
          <w:szCs w:val="32"/>
        </w:rPr>
        <w:t>测试服务结束后，需要提供所有系统的专业测试报告，每个系统根据漏洞危害程度将漏洞等级分为高危、中危、低危三个级别，对高、中</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低</w:t>
      </w:r>
      <w:r>
        <w:rPr>
          <w:rFonts w:hint="eastAsia" w:ascii="仿宋_GB2312" w:eastAsia="仿宋_GB2312"/>
          <w:color w:val="000000"/>
          <w:sz w:val="32"/>
          <w:szCs w:val="32"/>
        </w:rPr>
        <w:t>风险必须提供对应的整改措施</w:t>
      </w:r>
      <w:r>
        <w:rPr>
          <w:rFonts w:hint="eastAsia" w:ascii="仿宋_GB2312" w:eastAsia="仿宋_GB2312"/>
          <w:color w:val="000000"/>
          <w:sz w:val="32"/>
          <w:szCs w:val="32"/>
          <w:lang w:eastAsia="zh-CN"/>
        </w:rPr>
        <w:t>。</w:t>
      </w:r>
    </w:p>
    <w:p>
      <w:pPr>
        <w:numPr>
          <w:ilvl w:val="-1"/>
          <w:numId w:val="0"/>
        </w:numPr>
        <w:spacing w:line="578" w:lineRule="exact"/>
        <w:ind w:left="0" w:leftChars="0" w:firstLine="0" w:firstLineChars="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3、根据渗透测试的结果，协助系统开发、运维单位进行安全加固整改，并对整改完成后的系统进行二次复核，确保风险已被成功加固。</w:t>
      </w:r>
    </w:p>
    <w:p>
      <w:pPr>
        <w:numPr>
          <w:ilvl w:val="-1"/>
          <w:numId w:val="0"/>
        </w:numPr>
        <w:spacing w:line="578" w:lineRule="exact"/>
        <w:ind w:left="0" w:leftChars="0" w:firstLine="0" w:firstLineChars="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4、若对于公共文化艺术发展中心信息系统已完成渗透测试并按照风险提示加固，但在区里渗透测试中仍发现风险问题时，扣除该服务公司对于该系统的渗透测试服务费。</w:t>
      </w:r>
    </w:p>
    <w:p>
      <w:pPr>
        <w:numPr>
          <w:ilvl w:val="-1"/>
          <w:numId w:val="0"/>
        </w:numPr>
        <w:spacing w:line="578" w:lineRule="exact"/>
        <w:ind w:left="0" w:leftChars="0" w:firstLine="0" w:firstLineChars="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5、针对8个系统，每半年渗透一次，一年两次对用户方的重要信息系统开展渗透测试自查工作。</w:t>
      </w:r>
    </w:p>
    <w:p>
      <w:pPr>
        <w:spacing w:line="560" w:lineRule="exact"/>
        <w:rPr>
          <w:rFonts w:hint="eastAsia" w:ascii="黑体" w:hAnsi="黑体" w:eastAsia="黑体" w:cs="仿宋"/>
          <w:color w:val="auto"/>
          <w:sz w:val="32"/>
          <w:szCs w:val="32"/>
        </w:rPr>
      </w:pPr>
      <w:r>
        <w:rPr>
          <w:rFonts w:hint="eastAsia" w:ascii="黑体" w:hAnsi="黑体" w:eastAsia="黑体" w:cs="黑体"/>
          <w:color w:val="auto"/>
          <w:sz w:val="32"/>
          <w:szCs w:val="32"/>
        </w:rPr>
        <w:t>三</w:t>
      </w:r>
      <w:r>
        <w:rPr>
          <w:rFonts w:hint="eastAsia" w:ascii="黑体" w:hAnsi="黑体" w:eastAsia="黑体" w:cs="仿宋"/>
          <w:color w:val="auto"/>
          <w:sz w:val="32"/>
          <w:szCs w:val="32"/>
        </w:rPr>
        <w:t>、供应商资格要求</w:t>
      </w:r>
    </w:p>
    <w:p>
      <w:pPr>
        <w:widowControl/>
        <w:spacing w:line="560" w:lineRule="exact"/>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1、具有独立法人资格且经营范围须包含</w:t>
      </w:r>
      <w:r>
        <w:rPr>
          <w:rFonts w:hint="eastAsia" w:ascii="仿宋_GB2312" w:hAnsi="仿宋_GB2312" w:eastAsia="仿宋_GB2312" w:cs="仿宋_GB2312"/>
          <w:b w:val="0"/>
          <w:i w:val="0"/>
          <w:caps w:val="0"/>
          <w:color w:val="000000"/>
          <w:spacing w:val="0"/>
          <w:sz w:val="32"/>
          <w:szCs w:val="32"/>
          <w:shd w:val="clear" w:fill="FFFFFF"/>
        </w:rPr>
        <w:t>计算机软硬件的技术开发和技术咨询</w:t>
      </w:r>
      <w:r>
        <w:rPr>
          <w:rFonts w:hint="eastAsia" w:ascii="仿宋_GB2312" w:hAnsi="仿宋_GB2312" w:eastAsia="仿宋_GB2312" w:cs="仿宋_GB2312"/>
          <w:color w:val="auto"/>
          <w:kern w:val="0"/>
          <w:sz w:val="32"/>
          <w:szCs w:val="32"/>
          <w:lang w:val="en-US" w:eastAsia="zh-CN"/>
        </w:rPr>
        <w:t>资质（提供合法有效的营业执照原件扫描件，原件备查；如深圳企业营业执照未反映经营范围，须提供深圳市市场监督管理局网站关于供应商经营范围查询结果的截图）；</w:t>
      </w:r>
    </w:p>
    <w:p>
      <w:pPr>
        <w:widowControl/>
        <w:spacing w:line="560" w:lineRule="exact"/>
        <w:ind w:firstLine="0"/>
        <w:jc w:val="left"/>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2、具备丰富的信息安全服务资质（提供公司简介、报价方案、至少1个服务案例）。</w:t>
      </w:r>
    </w:p>
    <w:p>
      <w:pPr>
        <w:spacing w:line="560" w:lineRule="exact"/>
        <w:rPr>
          <w:rFonts w:hint="eastAsia" w:ascii="黑体" w:hAnsi="黑体" w:eastAsia="黑体" w:cs="仿宋"/>
          <w:color w:val="auto"/>
          <w:sz w:val="32"/>
          <w:szCs w:val="32"/>
        </w:rPr>
      </w:pPr>
      <w:r>
        <w:rPr>
          <w:rFonts w:hint="eastAsia" w:ascii="黑体" w:hAnsi="黑体" w:eastAsia="黑体" w:cs="仿宋"/>
          <w:color w:val="auto"/>
          <w:sz w:val="32"/>
          <w:szCs w:val="32"/>
        </w:rPr>
        <w:t>四、评标定标方法</w:t>
      </w:r>
    </w:p>
    <w:p>
      <w:pPr>
        <w:spacing w:line="24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本项目采用综合评分法，得分最高的供应商即为中选供应商。定标结果由</w:t>
      </w:r>
      <w:r>
        <w:rPr>
          <w:rFonts w:hint="eastAsia" w:ascii="仿宋_GB2312" w:hAnsi="仿宋_GB2312" w:eastAsia="仿宋_GB2312" w:cs="仿宋_GB2312"/>
          <w:bCs/>
          <w:sz w:val="32"/>
          <w:szCs w:val="32"/>
          <w:highlight w:val="none"/>
        </w:rPr>
        <w:t>光明区</w:t>
      </w:r>
      <w:r>
        <w:rPr>
          <w:rFonts w:hint="eastAsia" w:ascii="仿宋_GB2312" w:hAnsi="仿宋_GB2312" w:eastAsia="仿宋_GB2312" w:cs="仿宋_GB2312"/>
          <w:bCs/>
          <w:sz w:val="32"/>
          <w:szCs w:val="32"/>
          <w:highlight w:val="none"/>
          <w:lang w:val="en-US" w:eastAsia="zh-CN"/>
        </w:rPr>
        <w:t>公共文化艺术发展中心信息系统渗透服务</w:t>
      </w:r>
      <w:r>
        <w:rPr>
          <w:rFonts w:hint="eastAsia" w:ascii="仿宋_GB2312" w:hAnsi="仿宋_GB2312" w:eastAsia="仿宋_GB2312" w:cs="仿宋_GB2312"/>
          <w:color w:val="auto"/>
          <w:sz w:val="32"/>
          <w:szCs w:val="32"/>
        </w:rPr>
        <w:t>采购需求项目采购小组通过中心行政办公会议后共同评审、商定。</w:t>
      </w:r>
    </w:p>
    <w:p>
      <w:pPr>
        <w:spacing w:line="578" w:lineRule="exact"/>
        <w:rPr>
          <w:rFonts w:ascii="黑体" w:hAnsi="黑体" w:eastAsia="黑体" w:cs="黑体"/>
          <w:color w:val="auto"/>
          <w:sz w:val="32"/>
          <w:szCs w:val="32"/>
        </w:rPr>
      </w:pP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、商务需求</w:t>
      </w:r>
    </w:p>
    <w:p>
      <w:pPr>
        <w:spacing w:line="578" w:lineRule="exact"/>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rPr>
        <w:t>（一）服务时间：</w:t>
      </w:r>
      <w:r>
        <w:rPr>
          <w:rFonts w:hint="eastAsia" w:ascii="仿宋" w:hAnsi="仿宋" w:eastAsia="仿宋" w:cs="仿宋_GB2312"/>
          <w:color w:val="auto"/>
          <w:sz w:val="32"/>
          <w:szCs w:val="32"/>
          <w:lang w:val="en-US" w:eastAsia="zh-CN"/>
        </w:rPr>
        <w:t>合同签订之日起1年</w:t>
      </w:r>
    </w:p>
    <w:p>
      <w:pPr>
        <w:spacing w:line="578"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（二）交付地点：</w:t>
      </w:r>
      <w:r>
        <w:rPr>
          <w:rFonts w:hint="eastAsia" w:ascii="仿宋_GB2312" w:hAnsi="仿宋_GB2312" w:eastAsia="仿宋_GB2312" w:cs="仿宋_GB2312"/>
          <w:bCs/>
          <w:sz w:val="32"/>
          <w:szCs w:val="32"/>
          <w:highlight w:val="none"/>
        </w:rPr>
        <w:t>光明区</w:t>
      </w:r>
      <w:r>
        <w:rPr>
          <w:rFonts w:hint="eastAsia" w:ascii="仿宋_GB2312" w:hAnsi="仿宋_GB2312" w:eastAsia="仿宋_GB2312" w:cs="仿宋_GB2312"/>
          <w:bCs/>
          <w:sz w:val="32"/>
          <w:szCs w:val="32"/>
          <w:highlight w:val="none"/>
          <w:lang w:val="en-US" w:eastAsia="zh-CN"/>
        </w:rPr>
        <w:t>公共文化艺术发展中心</w:t>
      </w:r>
    </w:p>
    <w:p>
      <w:pPr>
        <w:spacing w:line="578" w:lineRule="exact"/>
        <w:rPr>
          <w:rFonts w:hint="eastAsia" w:ascii="仿宋" w:hAnsi="仿宋" w:eastAsia="仿宋" w:cs="仿宋_GB2312"/>
          <w:color w:val="auto"/>
          <w:sz w:val="32"/>
          <w:szCs w:val="32"/>
        </w:rPr>
      </w:pPr>
      <w:r>
        <w:rPr>
          <w:rFonts w:hint="eastAsia" w:ascii="仿宋" w:hAnsi="仿宋" w:eastAsia="仿宋" w:cs="仿宋_GB2312"/>
          <w:color w:val="auto"/>
          <w:sz w:val="32"/>
          <w:szCs w:val="32"/>
        </w:rPr>
        <w:t>（三）报价要求：</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1.</w:t>
      </w:r>
      <w:r>
        <w:rPr>
          <w:rFonts w:hint="eastAsia" w:ascii="仿宋_GB2312" w:hAnsi="仿宋" w:eastAsia="仿宋_GB2312" w:cs="仿宋"/>
          <w:color w:val="auto"/>
          <w:sz w:val="32"/>
          <w:szCs w:val="32"/>
        </w:rPr>
        <w:t>投标供应商的报价</w:t>
      </w:r>
      <w:r>
        <w:rPr>
          <w:rFonts w:hint="eastAsia" w:ascii="仿宋_GB2312" w:hAnsi="Times New Roman" w:eastAsia="仿宋_GB2312" w:cs="Times New Roman"/>
          <w:color w:val="auto"/>
          <w:sz w:val="32"/>
          <w:szCs w:val="32"/>
        </w:rPr>
        <w:t>不得高于项目预算。</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2.</w:t>
      </w:r>
      <w:r>
        <w:rPr>
          <w:rFonts w:hint="eastAsia" w:ascii="仿宋_GB2312" w:hAnsi="仿宋_GB2312" w:eastAsia="仿宋_GB2312" w:cs="仿宋_GB2312"/>
          <w:sz w:val="32"/>
          <w:szCs w:val="32"/>
        </w:rPr>
        <w:t>本项目服务费采用包干制，应包括服务成本、法定税费和企业的利润。</w:t>
      </w:r>
    </w:p>
    <w:p>
      <w:pPr>
        <w:spacing w:line="578"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3.</w:t>
      </w:r>
      <w:r>
        <w:rPr>
          <w:rFonts w:hint="eastAsia" w:ascii="仿宋_GB2312" w:hAnsi="Times New Roman" w:eastAsia="仿宋_GB2312" w:cs="Times New Roman"/>
          <w:color w:val="auto"/>
          <w:sz w:val="32"/>
          <w:szCs w:val="32"/>
        </w:rPr>
        <w:t>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4.提交报价人员</w:t>
      </w:r>
      <w:r>
        <w:rPr>
          <w:rFonts w:hint="eastAsia" w:ascii="仿宋_GB2312" w:hAnsi="仿宋" w:eastAsia="仿宋_GB2312" w:cs="仿宋"/>
          <w:color w:val="auto"/>
          <w:sz w:val="32"/>
          <w:szCs w:val="32"/>
          <w:lang w:eastAsia="zh-CN"/>
        </w:rPr>
        <w:t>如非法定代表人，则</w:t>
      </w:r>
      <w:r>
        <w:rPr>
          <w:rFonts w:hint="eastAsia" w:ascii="仿宋_GB2312" w:hAnsi="仿宋" w:eastAsia="仿宋_GB2312" w:cs="仿宋"/>
          <w:color w:val="auto"/>
          <w:sz w:val="32"/>
          <w:szCs w:val="32"/>
        </w:rPr>
        <w:t>需法定代表人提供授权委托证明</w:t>
      </w:r>
      <w:r>
        <w:rPr>
          <w:rFonts w:hint="eastAsia" w:ascii="仿宋_GB2312" w:hAnsi="仿宋" w:eastAsia="仿宋_GB2312" w:cs="仿宋"/>
          <w:color w:val="auto"/>
          <w:sz w:val="32"/>
          <w:szCs w:val="32"/>
          <w:lang w:eastAsia="zh-CN"/>
        </w:rPr>
        <w:t>。</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hint="default" w:ascii="仿宋_GB2312" w:hAnsi="Times New Roman" w:eastAsia="仿宋_GB2312" w:cs="Times New Roman"/>
          <w:color w:val="auto"/>
          <w:sz w:val="32"/>
          <w:szCs w:val="32"/>
          <w:lang w:val="en-US" w:eastAsia="zh-CN"/>
        </w:rPr>
      </w:pP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78" w:lineRule="exact"/>
        <w:rPr>
          <w:rFonts w:ascii="仿宋_GB2312" w:hAnsi="仿宋" w:eastAsia="仿宋_GB2312" w:cs="仿宋"/>
          <w:color w:val="auto"/>
          <w:sz w:val="32"/>
          <w:szCs w:val="32"/>
        </w:rPr>
      </w:pPr>
      <w:r>
        <w:rPr>
          <w:rFonts w:hint="eastAsia" w:ascii="仿宋_GB2312" w:hAnsi="Times New Roman" w:eastAsia="仿宋_GB2312" w:cs="Times New Roman"/>
          <w:color w:val="auto"/>
          <w:sz w:val="32"/>
          <w:szCs w:val="32"/>
        </w:rPr>
        <w:t>（四）</w:t>
      </w:r>
      <w:r>
        <w:rPr>
          <w:rFonts w:hint="eastAsia" w:ascii="仿宋_GB2312" w:hAnsi="仿宋" w:eastAsia="仿宋_GB2312" w:cs="仿宋"/>
          <w:color w:val="auto"/>
          <w:sz w:val="32"/>
          <w:szCs w:val="32"/>
        </w:rPr>
        <w:t>违约责任：供应商未按照合同约定完成服务内容，应向采购方返还已收取的服务总费用，并向采购方支付服务总费用20%的违约金。</w:t>
      </w:r>
    </w:p>
    <w:p>
      <w:pPr>
        <w:spacing w:line="560" w:lineRule="exact"/>
        <w:rPr>
          <w:rFonts w:hint="eastAsia" w:ascii="仿宋_GB2312" w:hAnsi="Times New Roman" w:eastAsia="仿宋_GB2312" w:cs="Times New Roman"/>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五</w:t>
      </w:r>
      <w:r>
        <w:rPr>
          <w:rFonts w:hint="eastAsia" w:ascii="仿宋_GB2312" w:hAnsi="仿宋" w:eastAsia="仿宋_GB2312" w:cs="仿宋"/>
          <w:color w:val="auto"/>
          <w:sz w:val="32"/>
          <w:szCs w:val="32"/>
        </w:rPr>
        <w:t>）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p>
      <w:pPr>
        <w:jc w:val="center"/>
        <w:rPr>
          <w:rFonts w:hint="eastAsia" w:eastAsia="宋体"/>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F75B4C"/>
    <w:multiLevelType w:val="singleLevel"/>
    <w:tmpl w:val="8EF75B4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F354FE"/>
    <w:rsid w:val="00C517C4"/>
    <w:rsid w:val="01427780"/>
    <w:rsid w:val="032C17C4"/>
    <w:rsid w:val="04CF3C1F"/>
    <w:rsid w:val="06986E51"/>
    <w:rsid w:val="08D31306"/>
    <w:rsid w:val="09831197"/>
    <w:rsid w:val="0DBE61DE"/>
    <w:rsid w:val="0E562194"/>
    <w:rsid w:val="103747C3"/>
    <w:rsid w:val="107C1B48"/>
    <w:rsid w:val="11657F37"/>
    <w:rsid w:val="125B1CBF"/>
    <w:rsid w:val="138E37D9"/>
    <w:rsid w:val="139F121D"/>
    <w:rsid w:val="14666F5E"/>
    <w:rsid w:val="15647EF7"/>
    <w:rsid w:val="173567F3"/>
    <w:rsid w:val="17AD281A"/>
    <w:rsid w:val="1855208A"/>
    <w:rsid w:val="1A550B4A"/>
    <w:rsid w:val="1A740595"/>
    <w:rsid w:val="1A885306"/>
    <w:rsid w:val="1CF3499F"/>
    <w:rsid w:val="1D1F0921"/>
    <w:rsid w:val="1D3D1B55"/>
    <w:rsid w:val="1ED83063"/>
    <w:rsid w:val="1F373CBC"/>
    <w:rsid w:val="20575070"/>
    <w:rsid w:val="20695429"/>
    <w:rsid w:val="214624B7"/>
    <w:rsid w:val="234C55D5"/>
    <w:rsid w:val="24ED175F"/>
    <w:rsid w:val="250916C1"/>
    <w:rsid w:val="25F97FE1"/>
    <w:rsid w:val="27066EED"/>
    <w:rsid w:val="288428AF"/>
    <w:rsid w:val="289D3153"/>
    <w:rsid w:val="28B32791"/>
    <w:rsid w:val="297D7CF0"/>
    <w:rsid w:val="29C84CE2"/>
    <w:rsid w:val="2B0748C6"/>
    <w:rsid w:val="2DF07EB9"/>
    <w:rsid w:val="312E29DC"/>
    <w:rsid w:val="32250C73"/>
    <w:rsid w:val="338B75F5"/>
    <w:rsid w:val="34480BB1"/>
    <w:rsid w:val="35C37C1D"/>
    <w:rsid w:val="360534A7"/>
    <w:rsid w:val="36763E66"/>
    <w:rsid w:val="36FA3193"/>
    <w:rsid w:val="370740C0"/>
    <w:rsid w:val="38792EBF"/>
    <w:rsid w:val="3B0B24D7"/>
    <w:rsid w:val="3FE95E2E"/>
    <w:rsid w:val="4207292E"/>
    <w:rsid w:val="42846315"/>
    <w:rsid w:val="43DC0A62"/>
    <w:rsid w:val="46480809"/>
    <w:rsid w:val="47EE2E84"/>
    <w:rsid w:val="48665D29"/>
    <w:rsid w:val="49B91625"/>
    <w:rsid w:val="4AC8523D"/>
    <w:rsid w:val="4B814DBB"/>
    <w:rsid w:val="4DC755EE"/>
    <w:rsid w:val="4E2E6085"/>
    <w:rsid w:val="4F6A7264"/>
    <w:rsid w:val="50CF1C95"/>
    <w:rsid w:val="519F7282"/>
    <w:rsid w:val="51AC7357"/>
    <w:rsid w:val="51E814B5"/>
    <w:rsid w:val="53D051F2"/>
    <w:rsid w:val="544366D7"/>
    <w:rsid w:val="56BA09AE"/>
    <w:rsid w:val="57297F4F"/>
    <w:rsid w:val="58F41C69"/>
    <w:rsid w:val="59966E6F"/>
    <w:rsid w:val="5C1B5B05"/>
    <w:rsid w:val="5C5B02FD"/>
    <w:rsid w:val="5D166FE0"/>
    <w:rsid w:val="5E0822D5"/>
    <w:rsid w:val="5EDE6A2C"/>
    <w:rsid w:val="5F6A1FF1"/>
    <w:rsid w:val="605A1271"/>
    <w:rsid w:val="611976D1"/>
    <w:rsid w:val="62DF25EB"/>
    <w:rsid w:val="64BB583B"/>
    <w:rsid w:val="66431B26"/>
    <w:rsid w:val="6647447C"/>
    <w:rsid w:val="67FC4779"/>
    <w:rsid w:val="69027119"/>
    <w:rsid w:val="697A2E34"/>
    <w:rsid w:val="69F95C4F"/>
    <w:rsid w:val="6B937CCB"/>
    <w:rsid w:val="6EF23617"/>
    <w:rsid w:val="71D7337C"/>
    <w:rsid w:val="72D04EE1"/>
    <w:rsid w:val="730E6C49"/>
    <w:rsid w:val="74D843AF"/>
    <w:rsid w:val="76B74F3F"/>
    <w:rsid w:val="77F320C3"/>
    <w:rsid w:val="791B405B"/>
    <w:rsid w:val="7A924968"/>
    <w:rsid w:val="7C844D47"/>
    <w:rsid w:val="7D170C3D"/>
    <w:rsid w:val="7D8A1FEF"/>
    <w:rsid w:val="7EF354FE"/>
    <w:rsid w:val="7F7A12BD"/>
    <w:rsid w:val="7F81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2020-09-24T01:41:00Z</dcterms:created>
  <dc:creator>菱珊</dc:creator>
  <cp:lastModifiedBy> 许德寿.</cp:lastModifiedBy>
  <dcterms:modified xsi:type="dcterms:W3CDTF">2020-10-30T06:41:21Z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